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640" w:firstLineChars="200"/>
        <w:outlineLvl w:val="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市本级“三公”经费预算</w:t>
      </w:r>
      <w:r>
        <w:rPr>
          <w:rFonts w:ascii="仿宋_GB2312" w:hAnsi="华文仿宋" w:eastAsia="仿宋_GB2312" w:cs="仿宋_GB2312"/>
          <w:color w:val="000000"/>
          <w:sz w:val="32"/>
          <w:szCs w:val="32"/>
        </w:rPr>
        <w:t>0.36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亿元，与上年持平。其中：因公出国（境）费</w:t>
      </w:r>
      <w:r>
        <w:rPr>
          <w:rFonts w:ascii="仿宋_GB2312" w:hAnsi="华文仿宋" w:eastAsia="仿宋_GB2312" w:cs="仿宋_GB2312"/>
          <w:color w:val="000000"/>
          <w:sz w:val="32"/>
          <w:szCs w:val="32"/>
        </w:rPr>
        <w:t>0.018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亿元，与上年持平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因出国（境）批次、人数和过境地等无法确定，因此在预算编制时未编列到部门，在总预算中预留，年度执行中根据出国（境）情况据实调整。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公务用车购置及运行维护费</w:t>
      </w:r>
      <w:r>
        <w:rPr>
          <w:rFonts w:ascii="仿宋_GB2312" w:hAnsi="华文仿宋" w:eastAsia="仿宋_GB2312" w:cs="仿宋_GB2312"/>
          <w:color w:val="000000"/>
          <w:sz w:val="32"/>
          <w:szCs w:val="32"/>
        </w:rPr>
        <w:t>0.18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亿元，与上年持平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公务用车购置需用车单位申请，市车改办报市公务用车制度改革领导小组审定同意下达批复，购车单位按财政采购要求购置。年初预算无法准确预估年度公务用车购置数量及金额，因此在总预算中预留，执行中据实调整。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公务接待费</w:t>
      </w:r>
      <w:r>
        <w:rPr>
          <w:rFonts w:ascii="仿宋_GB2312" w:hAnsi="华文仿宋" w:eastAsia="仿宋_GB2312" w:cs="仿宋_GB2312"/>
          <w:color w:val="000000"/>
          <w:sz w:val="32"/>
          <w:szCs w:val="32"/>
        </w:rPr>
        <w:t>0.162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亿元，与上年持平。</w:t>
      </w:r>
    </w:p>
    <w:p>
      <w:pPr>
        <w:spacing w:line="570" w:lineRule="exact"/>
        <w:outlineLvl w:val="0"/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61EDF"/>
    <w:rsid w:val="15C61EDF"/>
    <w:rsid w:val="23070214"/>
    <w:rsid w:val="594422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2023-02-20T06:38:00Z</dcterms:created>
  <dc:creator>Administrator</dc:creator>
  <cp:lastModifiedBy>Administrator</cp:lastModifiedBy>
  <dcterms:modified xsi:type="dcterms:W3CDTF">2024-03-05T07:17:44Z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