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i w:val="0"/>
          <w:caps w:val="0"/>
          <w:color w:val="333333"/>
          <w:spacing w:val="0"/>
          <w:sz w:val="28"/>
          <w:szCs w:val="28"/>
          <w:shd w:val="clear" w:color="auto" w:fill="FFFFFF"/>
          <w:lang w:val="en-US" w:eastAsia="zh-CN"/>
        </w:rPr>
      </w:pPr>
      <w:r>
        <w:rPr>
          <w:rFonts w:hint="eastAsia" w:ascii="宋体" w:hAnsi="宋体" w:eastAsia="宋体" w:cs="宋体"/>
          <w:i w:val="0"/>
          <w:caps w:val="0"/>
          <w:color w:val="333333"/>
          <w:spacing w:val="0"/>
          <w:sz w:val="28"/>
          <w:szCs w:val="28"/>
          <w:shd w:val="clear" w:color="auto" w:fill="FFFFFF"/>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i w:val="0"/>
          <w:caps w:val="0"/>
          <w:color w:val="333333"/>
          <w:spacing w:val="0"/>
          <w:sz w:val="28"/>
          <w:szCs w:val="28"/>
          <w:shd w:val="clear" w:color="auto" w:fill="FFFFFF"/>
          <w:lang w:val="en-US" w:eastAsia="zh-CN"/>
        </w:rPr>
      </w:pPr>
      <w:r>
        <w:rPr>
          <w:rFonts w:hint="default" w:ascii="宋体" w:hAnsi="宋体" w:eastAsia="宋体" w:cs="宋体"/>
          <w:b/>
          <w:bCs/>
          <w:i w:val="0"/>
          <w:caps w:val="0"/>
          <w:color w:val="333333"/>
          <w:spacing w:val="0"/>
          <w:sz w:val="28"/>
          <w:szCs w:val="28"/>
          <w:shd w:val="clear" w:color="auto" w:fill="FFFFFF"/>
          <w:lang w:val="en-US" w:eastAsia="zh-CN"/>
        </w:rPr>
        <w:t>保安服务框架</w:t>
      </w:r>
      <w:r>
        <w:rPr>
          <w:rFonts w:hint="eastAsia" w:ascii="宋体" w:hAnsi="宋体" w:eastAsia="宋体" w:cs="宋体"/>
          <w:b/>
          <w:bCs/>
          <w:i w:val="0"/>
          <w:caps w:val="0"/>
          <w:color w:val="333333"/>
          <w:spacing w:val="0"/>
          <w:sz w:val="28"/>
          <w:szCs w:val="28"/>
          <w:shd w:val="clear" w:color="auto" w:fill="FFFFFF"/>
          <w:lang w:val="en-US" w:eastAsia="zh-CN"/>
        </w:rPr>
        <w:t>式</w:t>
      </w:r>
      <w:r>
        <w:rPr>
          <w:rFonts w:hint="default" w:ascii="宋体" w:hAnsi="宋体" w:eastAsia="宋体" w:cs="宋体"/>
          <w:b/>
          <w:bCs/>
          <w:i w:val="0"/>
          <w:caps w:val="0"/>
          <w:color w:val="333333"/>
          <w:spacing w:val="0"/>
          <w:sz w:val="28"/>
          <w:szCs w:val="28"/>
          <w:shd w:val="clear" w:color="auto" w:fill="FFFFFF"/>
          <w:lang w:val="en-US" w:eastAsia="zh-CN"/>
        </w:rPr>
        <w:t>协议采购需求调查表</w:t>
      </w:r>
    </w:p>
    <w:tbl>
      <w:tblPr>
        <w:tblStyle w:val="3"/>
        <w:tblW w:w="15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00"/>
        <w:gridCol w:w="1027"/>
        <w:gridCol w:w="4988"/>
        <w:gridCol w:w="6152"/>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704"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2"/>
                <w:szCs w:val="22"/>
              </w:rPr>
            </w:pPr>
            <w:r>
              <w:rPr>
                <w:rFonts w:hint="eastAsia" w:ascii="微软雅黑" w:hAnsi="微软雅黑" w:eastAsia="微软雅黑" w:cs="宋体"/>
                <w:b/>
                <w:bCs/>
                <w:color w:val="auto"/>
                <w:kern w:val="0"/>
                <w:sz w:val="22"/>
                <w:szCs w:val="22"/>
              </w:rPr>
              <w:t>序号</w:t>
            </w:r>
          </w:p>
        </w:tc>
        <w:tc>
          <w:tcPr>
            <w:tcW w:w="120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2"/>
                <w:szCs w:val="22"/>
                <w:lang w:eastAsia="zh-CN"/>
              </w:rPr>
            </w:pPr>
            <w:r>
              <w:rPr>
                <w:rFonts w:hint="eastAsia" w:ascii="微软雅黑" w:hAnsi="微软雅黑" w:eastAsia="微软雅黑" w:cs="宋体"/>
                <w:b/>
                <w:bCs/>
                <w:color w:val="auto"/>
                <w:kern w:val="0"/>
                <w:sz w:val="22"/>
                <w:szCs w:val="22"/>
                <w:lang w:eastAsia="zh-CN"/>
              </w:rPr>
              <w:t>类别</w:t>
            </w: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2"/>
                <w:szCs w:val="22"/>
                <w:lang w:eastAsia="zh-CN"/>
              </w:rPr>
            </w:pPr>
            <w:r>
              <w:rPr>
                <w:rFonts w:hint="eastAsia" w:ascii="微软雅黑" w:hAnsi="微软雅黑" w:eastAsia="微软雅黑" w:cs="宋体"/>
                <w:b/>
                <w:bCs/>
                <w:color w:val="auto"/>
                <w:kern w:val="0"/>
                <w:sz w:val="22"/>
                <w:szCs w:val="22"/>
                <w:lang w:eastAsia="zh-CN"/>
              </w:rPr>
              <w:t>名称</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2"/>
                <w:szCs w:val="22"/>
                <w:lang w:eastAsia="zh-CN"/>
              </w:rPr>
            </w:pPr>
            <w:r>
              <w:rPr>
                <w:rFonts w:hint="eastAsia" w:ascii="微软雅黑" w:hAnsi="微软雅黑" w:eastAsia="微软雅黑" w:cs="宋体"/>
                <w:color w:val="auto"/>
                <w:kern w:val="0"/>
                <w:sz w:val="22"/>
                <w:szCs w:val="22"/>
                <w:lang w:eastAsia="zh-CN"/>
              </w:rPr>
              <w:t>描述</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2"/>
                <w:szCs w:val="22"/>
                <w:lang w:eastAsia="zh-CN"/>
              </w:rPr>
            </w:pPr>
            <w:r>
              <w:rPr>
                <w:rFonts w:hint="eastAsia" w:ascii="微软雅黑" w:hAnsi="微软雅黑" w:eastAsia="微软雅黑" w:cs="宋体"/>
                <w:b/>
                <w:bCs/>
                <w:color w:val="auto"/>
                <w:kern w:val="0"/>
                <w:sz w:val="22"/>
                <w:szCs w:val="22"/>
                <w:lang w:eastAsia="zh-CN"/>
              </w:rPr>
              <w:t>服务标准</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b/>
                <w:bCs/>
                <w:color w:val="auto"/>
                <w:kern w:val="0"/>
                <w:sz w:val="22"/>
                <w:szCs w:val="22"/>
                <w:lang w:val="en-US" w:eastAsia="zh-CN"/>
              </w:rPr>
            </w:pPr>
            <w:r>
              <w:rPr>
                <w:rFonts w:hint="eastAsia" w:ascii="微软雅黑" w:hAnsi="微软雅黑" w:eastAsia="微软雅黑" w:cs="宋体"/>
                <w:b/>
                <w:bCs/>
                <w:color w:val="auto"/>
                <w:kern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04" w:type="dxa"/>
            <w:vMerge w:val="restar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1</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宋体"/>
                <w:color w:val="auto"/>
                <w:kern w:val="0"/>
                <w:sz w:val="20"/>
                <w:szCs w:val="20"/>
              </w:rPr>
            </w:pPr>
          </w:p>
        </w:tc>
        <w:tc>
          <w:tcPr>
            <w:tcW w:w="1200" w:type="dxa"/>
            <w:vMerge w:val="restar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资格要求</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主体资格证明文件</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eastAsia="zh-CN"/>
              </w:rPr>
              <w:t>提供有效存续的企业营业执照（副本）</w:t>
            </w:r>
            <w:r>
              <w:rPr>
                <w:rFonts w:hint="eastAsia" w:ascii="微软雅黑" w:hAnsi="微软雅黑" w:eastAsia="微软雅黑" w:cs="宋体"/>
                <w:color w:val="auto"/>
                <w:kern w:val="0"/>
                <w:sz w:val="20"/>
                <w:szCs w:val="20"/>
                <w:lang w:val="en-US" w:eastAsia="zh-CN"/>
              </w:rPr>
              <w:t>/事业单位法人证书/专业服务机构职业许可证/民办非企业单位登记证书</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清晰的扫描件或复印件加盖企业公章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财务状况报告</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提供商年度经审计的财务报告（成立时间至提交响应文件截止时间不足一年的可提供成立后任意时段的资产负债表），或其开标前三个月内基本开户银行出具的资信证明，或信用担保机构出具的投标保证函（以上三种形式的资料提供任何一种即可）</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清晰的扫描件或复印件加盖企业公章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社保缴纳证明</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提供递交响应文件截止之日前一年内任意三个月的社会保障资金缴存单据或社保机构开具的社会保险参保缴费情况证明。依法不需要缴纳社会保障资金的供应商应提供相关证明文件。</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清晰的扫描件或复印件加盖企业公章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税收缴纳证明</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提供递交响应文件截止之日前一年内任意一个月的依法缴纳税收的完税证明，完税证明应有税务机关或代收机关的公章或业务专用章。依法免税或无须缴纳税收的供应商，应提供相应证明文件。</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清晰的扫描件或复印件加盖企业公章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信用记录</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提供《供应商信用记录书面声明函》（按格式填写，提供原件）。经征集人核查，供应商未被列入“信用中国”网站记录的“失信被执行人”或“重大税收违法案件当事人”名单。</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按照招标文件规定的格式出具声明函，打印相关网页截图加盖企业公章。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20"/>
                <w:szCs w:val="20"/>
              </w:rPr>
            </w:pPr>
            <w:r>
              <w:rPr>
                <w:rFonts w:hint="eastAsia" w:ascii="微软雅黑" w:hAnsi="微软雅黑" w:eastAsia="微软雅黑" w:cs="宋体"/>
                <w:color w:val="auto"/>
                <w:kern w:val="0"/>
                <w:sz w:val="20"/>
                <w:szCs w:val="20"/>
                <w:lang w:eastAsia="zh-CN"/>
              </w:rPr>
              <w:t>保安服务许可证</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eastAsia="zh-CN"/>
              </w:rPr>
              <w:t>提供有效期内公安机关颁发的保安服务许可证；跨省供应商应出具承诺书，承诺自本项目之日起</w:t>
            </w:r>
            <w:r>
              <w:rPr>
                <w:rFonts w:hint="eastAsia" w:ascii="微软雅黑" w:hAnsi="微软雅黑" w:eastAsia="微软雅黑" w:cs="宋体"/>
                <w:color w:val="auto"/>
                <w:kern w:val="0"/>
                <w:sz w:val="20"/>
                <w:szCs w:val="20"/>
                <w:lang w:val="en-US" w:eastAsia="zh-CN"/>
              </w:rPr>
              <w:t>30日内向采购人所在地设区的市级人民政府公安机关备案。</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清晰的、有效期内保安服务许可证扫描件或复印件加盖企业公章；承诺格式自拟。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04"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2</w:t>
            </w:r>
          </w:p>
        </w:tc>
        <w:tc>
          <w:tcPr>
            <w:tcW w:w="120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报价要求</w:t>
            </w: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报价要求</w:t>
            </w:r>
          </w:p>
        </w:tc>
        <w:tc>
          <w:tcPr>
            <w:tcW w:w="4988"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ind w:left="0" w:leftChars="0" w:firstLine="0" w:firstLineChars="0"/>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不低于陕西省一类区月最低工资标准，并包含社会统筹保险等所有费用，响应报价保留小数点后两位</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报价唯一且</w:t>
            </w:r>
            <w:r>
              <w:rPr>
                <w:rFonts w:hint="eastAsia" w:ascii="微软雅黑" w:hAnsi="微软雅黑" w:eastAsia="微软雅黑" w:cs="宋体"/>
                <w:color w:val="auto"/>
                <w:kern w:val="0"/>
                <w:sz w:val="20"/>
                <w:szCs w:val="20"/>
                <w:lang w:val="en-US" w:eastAsia="zh-CN"/>
              </w:rPr>
              <w:t>月工资不得低于安康市最低工资发放标准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restar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3</w:t>
            </w:r>
          </w:p>
        </w:tc>
        <w:tc>
          <w:tcPr>
            <w:tcW w:w="1200" w:type="dxa"/>
            <w:vMerge w:val="restar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技术要求</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治安巡逻服务</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1、对采购人指定区域、地段和目标进行巡查、警戒。</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2、制止打架斗殴、滋扰生事、扰乱采购人正常工作生活、不文明举止、违停车辆等，及时消除各类安全隐患，做好随时处置突发事件和提供紧急救助的准备。</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3、维护采购人工作区域、生活秩序稳定，物资财产安全等服务。</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1、24小时值守，制定时间段巡逻。了解重点区域明确巡查工作职责，规范巡视工作流程，负责防盗、防火等安全防范巡查，设置巡更点，做好巡更记录。</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2、制定相对固定的巡视路线，对采购人制定区域、地段、重要区域和目标部位进行重点巡查、警戒，保卫其安全。节假日、夜间巡逻时，增加巡逻次数，确保在契约期间的治安消防保卫工作不出问题。</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3、发现和处理各种安全和事故隐患。通过巡逻，震慑不法分子，使其打消对采购人及其任务目标的不法侵害的企图。通过巡逻，发现可疑人员，对其进行询问，对有作案嫌疑的，送交有关部门处理。</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4、对正在发生的不法侵害行为，对采购人目标区域内出现的打架斗殴、滋扰生事、扰乱采购人正常工作生活、不文明举止、违停车辆等行为，应采取相应措施，予以制止，将不法行为人送交公安机关或有关部门处理。</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5、检查、发现、报告并及时消除各种不安全隐患。防止火灾、爆炸等事故或抢劫、盗窃等不法侵害案件的发生。</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6、在巡逻过程中，对已经发生的不法侵害案件或灾害事故，应及时报告公安机关或有关部门并保护现场。</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门卫服务</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1、对采购人各大门、通道、出入口进行把守，按采购人的规定和临时要求对进出人员、车辆及物资进行查验和登记备案。</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2、报刊杂志、文件、邮件的收发工作，严格执行采购人有关保密规定，负责收发场所的安全保密工作。</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3、对采购人委托的快递和外卖进行管理。</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1、24小时值守，指定时间段立岗。了解门卫工作职责，规范工作流程，严格执行门卫管理制度做好交接工作及各项记录。</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2、负责对出入口进行把守、验证、检查，保卫服务对象安全。杜绝外来推销、废品收购等闲杂人员、可疑人员和危险物品进入办公楼(区)内。</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3、对出入的人员、车辆进行查验和登记，禁止闲散无关人员进入目标区域。</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4、大件物品出入实行确认备案制度，建立报告制度并登记台帐。</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5、指挥、疏导出入车辆，清理无关人员，维护出入口的正常秩序。</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6、报刊杂志、文件、邮件的收发工作，严格执行采购人有关保密规定，负责收发场所的安全保密工作。做好节假日期间报刊、文件、杂志等的安全管理。</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7、对采购人委托的快递和外卖进行管理。</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8、协助采购人做好来访接待工作。</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守护服务</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1、对采购人指定的目标进行看护和守卫服务。</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1、24小时值守，指定时间段守护。了解守护工作职责，规范工作流程，严格执行工作制度做好交接工作。</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2、对特定的目标进行看护和守卫，保证指定目标的安全。</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3、维护守卫区域的正常秩序。及时制止无关人员进入守卫范围。</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4、做好防火、防盗、防抢、防爆炸等工作。</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消控监控管理服务</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1、负责目标区域的监控工作，对目标区域的各主要出入口，重要部位，要害部位加大监控力度，对有特殊情况出现应立即通知有关部门，并配合有关部门协调行动。</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2、对各报警部位发生的报警信息，应及时进行确认，并调出报警区域摄像和图象进行分析和确认，如有特殊情况应立即通知关部门、并将报警情况及处理过程记录在监控值班记录表中。</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 xml:space="preserve">1、消控、监控中心（室）需24小时值班；严格执行工作制度，做好交接工作和各项记录。 </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 xml:space="preserve">2、监控设施应保持24小时开通，并保持完整的监控记录，保证对各出入口、内部重点区域的安全监控、录像及协助布警；监控中心（室）收到火情、险情及其他异常情况报警信号后，报警并派专人赶到现场进行前期处理。 </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 xml:space="preserve">3、做好防盗、防火报警监控设备日常使用管理，监控资料应至少保持30天。 </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4、每月对监控设施进行检查并做好记录，对到期监控设施进行更新，确保运行无故障。</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突发事件应急处理服务</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根据采购人的实际需求和实际目标任务做好各类保安工作方案及应急服务预案，并组织保安人员定期进行演练、演习等实战操作，做好处置准备，并能随时有效处置突发事件。</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 xml:space="preserve">1、保安员熟悉防汛救灾、人员疏导、灭火应急疏散等预案，并经常开展演练，遇到突发事件能按照预案及时有效处置。 </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 xml:space="preserve">2、配备、维护保养好各类应急物资器材装备，确保其在发生灾难时的能随时正常使用，减少损失。 </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 xml:space="preserve">3、建立各类应急预案，并在保安相关办公室、监控室等处张榜悬挂，及时处理突发事件，定期实行突发事件应急演练。 </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 xml:space="preserve">4、当发生台风、暴雨、雪灾等灾害性天气及其他突发事件时，应对设备机房、停车棚、广告牌、电线杆等露天设施进行检查和加固；各岗位人员必须按规定实行岗位警戒，根据不同突发事件的现场情况进行应变处理。 </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5、各岗位人员必须按规定实行岗位警戒，根据不同突发事件的现场情况进行应变处理。对待上访人员做到耐心说服，及时报告有关部门予以妥善处置。</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防范服务</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能够正确、熟练使用各种技术防范设备，要做到爱护设备，提供必要的技术防范服务。</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1、运用技术手段和设备，为采购人指定的区域和目标，设计、安装各种报警器材并定期维护，提供接警、先期处警和其他相关的技防服务业务，保卫采购人安全。</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2、接到采购人区域内的报警信息，应迅速赶赴现场进行先期处置。对正在发生的不法侵害行为，应采取措施制止，对不法行为人应立即送交公安机关处理。</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3、对于误报警应迅速检查并排除。对联网报警的技防设备，应定期进行巡检维护，防止设备出现故障。</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4、技防设备的安装、维护、使用应严格遵照有关技术规范和标准进行。</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必要的增值服务内容</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安防技防设备数据定期整理备份，外事接待、庆祝宣传、会议庆典、黄金周执勤等重大活动保障。</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1、供应商对服务区内监控等安防技防设备数据定期进行整理备份</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2、供应商对采购人有外事接待、庆祝宣传、会议庆典、黄金周执勤保障等重大活动时，能无偿增配设备器材、抽调保安人员等进行临时服务。</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综合管理服务</w:t>
            </w:r>
          </w:p>
        </w:tc>
        <w:tc>
          <w:tcPr>
            <w:tcW w:w="4988"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val="en-US" w:eastAsia="zh-CN" w:bidi="ar-SA"/>
              </w:rPr>
              <w:t>1、</w:t>
            </w:r>
            <w:r>
              <w:rPr>
                <w:rFonts w:hint="eastAsia" w:ascii="微软雅黑" w:hAnsi="微软雅黑" w:eastAsia="微软雅黑" w:cs="宋体"/>
                <w:color w:val="auto"/>
                <w:kern w:val="0"/>
                <w:sz w:val="20"/>
                <w:szCs w:val="20"/>
                <w:lang w:eastAsia="zh-CN"/>
              </w:rPr>
              <w:t>内勤管理的服务</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2、培训考核、奖惩机制</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3、满意度调查的服务</w:t>
            </w:r>
          </w:p>
        </w:tc>
        <w:tc>
          <w:tcPr>
            <w:tcW w:w="6152"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1、内勤管理的服务标准：</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（1）建立档案管理制度，建立齐全的保安管理档案。</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（2）建立内控制度，制定工作标准、服务质量标准、作业流程标准，建立自查制度、保密制度、廉洁敬业等制度，并组织实施</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（3）建立人员管理制度，如：员工日常管理办法、请销假制度等，并严格执行。</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2、培训考核、奖惩机制的服务标准：</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（1）建立岗前培训计划、定期培训计划和奖惩机制，并严格执行。</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（2）培训后进行学习成果验收和考核，建立完善的人员培训考核办法和考核管理办法，并严格执行。</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3、满意度调查的服务标准：满意率达85%以上。</w:t>
            </w:r>
          </w:p>
        </w:tc>
        <w:tc>
          <w:tcPr>
            <w:tcW w:w="1603"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设备要求</w:t>
            </w:r>
          </w:p>
        </w:tc>
        <w:tc>
          <w:tcPr>
            <w:tcW w:w="4988"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供应商根据项目实际需求，与采购人商定服务过程中拟投入的具体设备和数量。</w:t>
            </w:r>
          </w:p>
        </w:tc>
        <w:tc>
          <w:tcPr>
            <w:tcW w:w="6152"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eastAsia="zh-CN"/>
              </w:rPr>
              <w:t>设备包括但不限于：防刺服，防爆钢叉，对讲机，执法记录仪，巡逻手电，肩挑灯，防爆长棍，盾牌，头盔，轮巡逻车辆，微型消防车，春秋被服等。</w:t>
            </w:r>
          </w:p>
        </w:tc>
        <w:tc>
          <w:tcPr>
            <w:tcW w:w="1603"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其他要求</w:t>
            </w:r>
          </w:p>
        </w:tc>
        <w:tc>
          <w:tcPr>
            <w:tcW w:w="4988"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c>
          <w:tcPr>
            <w:tcW w:w="6152"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 xml:space="preserve">1、拟派所有保安人员均需持保安员证。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 xml:space="preserve">2、在服务期内，管理人员（保安队长）和服务团队要保持稳定，不得随意更换。如有原因确需更换的，须经采购人同意。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 xml:space="preserve">3、拟投设备满足项目实际需求，具体设备及数量须跟采购人协商确定。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 xml:space="preserve">4、若项目需要消防监控室人员，须提供处于有效期内的消防设施操作员（或建（构）筑物消防员）证。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5、根据采购人所选服务内容，提供满足相应服务要求的保安服务。</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6、接受采购人的领导、监督、检查、考核及业务指导。当考核不合格时，采购人有权解除合同。</w:t>
            </w:r>
          </w:p>
        </w:tc>
        <w:tc>
          <w:tcPr>
            <w:tcW w:w="1603"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bl>
    <w:p>
      <w:bookmarkStart w:id="0" w:name="_GoBack"/>
      <w:bookmarkEnd w:id="0"/>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WM4ZTA2MmMyM2UzODFkYjczMzllN2ZlNTQxMzkifQ=="/>
  </w:docVars>
  <w:rsids>
    <w:rsidRoot w:val="00000000"/>
    <w:rsid w:val="557D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240" w:lineRule="auto"/>
      <w:jc w:val="center"/>
      <w:outlineLvl w:val="0"/>
    </w:pPr>
    <w:rPr>
      <w:b/>
      <w:bCs/>
      <w:kern w:val="44"/>
      <w:sz w:val="36"/>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OC 标题1"/>
    <w:basedOn w:val="2"/>
    <w:next w:val="1"/>
    <w:unhideWhenUsed/>
    <w:qFormat/>
    <w:uiPriority w:val="39"/>
    <w:pPr>
      <w:spacing w:before="480" w:beforeLines="0" w:line="276" w:lineRule="auto"/>
      <w:jc w:val="left"/>
      <w:outlineLvl w:val="9"/>
    </w:pPr>
    <w:rPr>
      <w:rFonts w:ascii="Cambria" w:hAnsi="Cambria" w:eastAsia="宋体" w:cs="黑体"/>
      <w:color w:val="365F90"/>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2023-11-22T02:06:48Z</dcterms:created>
  <dc:creator>Administrator</dc:creator>
  <cp:lastModifiedBy>Administrator</cp:lastModifiedBy>
  <dcterms:modified xsi:type="dcterms:W3CDTF">2023-11-22T02:08:03Z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371641F86D6C45A6ACD017E31CD000B3_12</vt:lpwstr>
  </property>
</Properties>
</file>