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jc w:val="both"/>
        <w:rPr>
          <w:rFonts w:ascii="华文中宋" w:hAnsi="华文中宋" w:eastAsia="华文中宋" w:cs="华文中宋"/>
          <w:color w:val="000000" w:themeColor="text1"/>
          <w:sz w:val="36"/>
          <w:szCs w:val="36"/>
        </w:rPr>
      </w:pPr>
      <w:r>
        <w:rPr>
          <w:rFonts w:hint="eastAsia" w:ascii="华文中宋" w:hAnsi="华文中宋" w:eastAsia="华文中宋" w:cs="华文中宋"/>
          <w:color w:val="000000" w:themeColor="text1"/>
          <w:sz w:val="36"/>
          <w:szCs w:val="36"/>
        </w:rPr>
        <w:t>附件</w:t>
      </w:r>
      <w:r>
        <w:rPr>
          <w:rFonts w:hint="eastAsia" w:ascii="华文中宋" w:hAnsi="华文中宋" w:eastAsia="华文中宋" w:cs="华文中宋"/>
          <w:color w:val="000000" w:themeColor="text1"/>
          <w:sz w:val="36"/>
          <w:szCs w:val="36"/>
          <w:lang w:val="en-US" w:eastAsia="zh-CN"/>
        </w:rPr>
        <w:t>3</w:t>
      </w:r>
    </w:p>
    <w:p>
      <w:pPr>
        <w:spacing w:line="360" w:lineRule="auto"/>
        <w:ind w:firstLine="480" w:firstLineChars="200"/>
        <w:rPr>
          <w:rFonts w:ascii="宋体" w:hAnsi="宋体"/>
          <w:color w:val="000000" w:themeColor="text1"/>
          <w:sz w:val="24"/>
        </w:rPr>
      </w:pPr>
    </w:p>
    <w:p>
      <w:pPr>
        <w:spacing w:line="360" w:lineRule="auto"/>
        <w:ind w:firstLine="720" w:firstLineChars="200"/>
        <w:jc w:val="center"/>
        <w:rPr>
          <w:rFonts w:ascii="宋体" w:hAnsi="宋体"/>
          <w:color w:val="000000" w:themeColor="text1"/>
          <w:sz w:val="24"/>
        </w:rPr>
      </w:pPr>
      <w:bookmarkStart w:id="0" w:name="_GoBack"/>
      <w:bookmarkEnd w:id="0"/>
      <w:r>
        <w:rPr>
          <w:rFonts w:hint="eastAsia" w:ascii="华文中宋" w:hAnsi="华文中宋" w:eastAsia="华文中宋" w:cs="华文中宋"/>
          <w:color w:val="000000" w:themeColor="text1"/>
          <w:sz w:val="36"/>
          <w:szCs w:val="36"/>
        </w:rPr>
        <w:t>2021年度行政事业性国有资产分析报告提纲</w:t>
      </w:r>
    </w:p>
    <w:p>
      <w:pPr>
        <w:spacing w:line="360" w:lineRule="auto"/>
        <w:ind w:firstLine="480" w:firstLineChars="200"/>
        <w:rPr>
          <w:rFonts w:ascii="宋体" w:hAnsi="宋体"/>
          <w:color w:val="000000" w:themeColor="text1"/>
          <w:sz w:val="24"/>
        </w:rPr>
      </w:pPr>
    </w:p>
    <w:p>
      <w:pPr>
        <w:spacing w:line="360" w:lineRule="auto"/>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为适应</w:t>
      </w:r>
      <w:r>
        <w:rPr>
          <w:rFonts w:ascii="仿宋_GB2312" w:eastAsia="仿宋_GB2312"/>
          <w:color w:val="000000" w:themeColor="text1"/>
          <w:sz w:val="32"/>
          <w:szCs w:val="32"/>
        </w:rPr>
        <w:t>向全国人大常委会报告国有资产管理情况工作的要求，</w:t>
      </w:r>
      <w:r>
        <w:rPr>
          <w:rFonts w:hint="eastAsia" w:ascii="仿宋_GB2312" w:eastAsia="仿宋_GB2312"/>
          <w:color w:val="000000" w:themeColor="text1"/>
          <w:sz w:val="32"/>
          <w:szCs w:val="32"/>
        </w:rPr>
        <w:t>根据《行政事业性国有资产管理条例》（国务院令第738号）和行政事业单位国有资产报告制度等有关规定，现对本部门</w:t>
      </w:r>
      <w:r>
        <w:rPr>
          <w:rFonts w:hint="eastAsia" w:ascii="仿宋_GB2312" w:eastAsia="仿宋_GB2312"/>
          <w:color w:val="000000" w:themeColor="text1"/>
          <w:sz w:val="32"/>
          <w:szCs w:val="32"/>
          <w:lang w:eastAsia="zh-CN"/>
        </w:rPr>
        <w:t>、</w:t>
      </w:r>
      <w:r>
        <w:rPr>
          <w:rFonts w:hint="eastAsia" w:ascii="仿宋_GB2312" w:eastAsia="仿宋_GB2312"/>
          <w:color w:val="000000" w:themeColor="text1"/>
          <w:sz w:val="32"/>
          <w:szCs w:val="32"/>
        </w:rPr>
        <w:t>本</w:t>
      </w:r>
      <w:r>
        <w:rPr>
          <w:rFonts w:hint="eastAsia" w:ascii="仿宋_GB2312" w:eastAsia="仿宋_GB2312"/>
          <w:color w:val="000000" w:themeColor="text1"/>
          <w:sz w:val="32"/>
          <w:szCs w:val="32"/>
          <w:lang w:eastAsia="zh-CN"/>
        </w:rPr>
        <w:t>市区</w:t>
      </w:r>
      <w:r>
        <w:rPr>
          <w:rFonts w:hint="eastAsia" w:ascii="仿宋_GB2312" w:eastAsia="仿宋_GB2312"/>
          <w:color w:val="000000" w:themeColor="text1"/>
          <w:sz w:val="32"/>
          <w:szCs w:val="32"/>
        </w:rPr>
        <w:t>资产占有</w:t>
      </w:r>
      <w:r>
        <w:rPr>
          <w:rFonts w:ascii="仿宋_GB2312" w:eastAsia="仿宋_GB2312"/>
          <w:color w:val="000000" w:themeColor="text1"/>
          <w:sz w:val="32"/>
          <w:szCs w:val="32"/>
        </w:rPr>
        <w:t>、</w:t>
      </w:r>
      <w:r>
        <w:rPr>
          <w:rFonts w:hint="eastAsia" w:ascii="仿宋_GB2312" w:eastAsia="仿宋_GB2312"/>
          <w:color w:val="000000" w:themeColor="text1"/>
          <w:sz w:val="32"/>
          <w:szCs w:val="32"/>
        </w:rPr>
        <w:t>使用、变动以及管理情况等进行分析报告如下：</w:t>
      </w:r>
    </w:p>
    <w:p>
      <w:pPr>
        <w:pStyle w:val="12"/>
        <w:numPr>
          <w:ilvl w:val="0"/>
          <w:numId w:val="1"/>
        </w:numPr>
        <w:spacing w:line="360" w:lineRule="auto"/>
        <w:ind w:firstLineChars="0"/>
        <w:rPr>
          <w:rFonts w:ascii="黑体" w:hAnsi="仿宋" w:eastAsia="黑体"/>
          <w:color w:val="000000" w:themeColor="text1"/>
          <w:sz w:val="32"/>
          <w:szCs w:val="32"/>
        </w:rPr>
      </w:pPr>
      <w:r>
        <w:rPr>
          <w:rFonts w:hint="eastAsia" w:ascii="黑体" w:hAnsi="仿宋" w:eastAsia="黑体"/>
          <w:color w:val="000000" w:themeColor="text1"/>
          <w:sz w:val="32"/>
          <w:szCs w:val="32"/>
          <w:lang w:eastAsia="zh-CN"/>
        </w:rPr>
        <w:t>市区</w:t>
      </w:r>
      <w:r>
        <w:rPr>
          <w:rFonts w:hint="eastAsia" w:ascii="黑体" w:hAnsi="仿宋" w:eastAsia="黑体"/>
          <w:color w:val="000000" w:themeColor="text1"/>
          <w:sz w:val="32"/>
          <w:szCs w:val="32"/>
        </w:rPr>
        <w:t>/部门的基本情况</w:t>
      </w:r>
    </w:p>
    <w:p>
      <w:pPr>
        <w:widowControl/>
        <w:ind w:firstLine="640" w:firstLineChars="200"/>
        <w:rPr>
          <w:rFonts w:ascii="仿宋_GB2312" w:hAnsi="Times New Roman" w:eastAsia="仿宋_GB2312"/>
          <w:color w:val="000000" w:themeColor="text1"/>
          <w:kern w:val="0"/>
          <w:sz w:val="32"/>
          <w:szCs w:val="32"/>
        </w:rPr>
      </w:pPr>
      <w:r>
        <w:rPr>
          <w:rFonts w:hint="eastAsia" w:ascii="仿宋_GB2312" w:hAnsi="Times New Roman" w:eastAsia="仿宋_GB2312"/>
          <w:color w:val="000000" w:themeColor="text1"/>
          <w:kern w:val="0"/>
          <w:sz w:val="32"/>
          <w:szCs w:val="32"/>
        </w:rPr>
        <w:t>分析</w:t>
      </w:r>
      <w:r>
        <w:rPr>
          <w:rFonts w:hint="eastAsia" w:ascii="仿宋_GB2312" w:eastAsia="仿宋_GB2312"/>
          <w:color w:val="000000" w:themeColor="text1"/>
          <w:sz w:val="32"/>
          <w:szCs w:val="32"/>
        </w:rPr>
        <w:t>本部门</w:t>
      </w:r>
      <w:r>
        <w:rPr>
          <w:rFonts w:hint="eastAsia" w:ascii="仿宋_GB2312" w:eastAsia="仿宋_GB2312"/>
          <w:color w:val="000000" w:themeColor="text1"/>
          <w:sz w:val="32"/>
          <w:szCs w:val="32"/>
          <w:lang w:eastAsia="zh-CN"/>
        </w:rPr>
        <w:t>、</w:t>
      </w:r>
      <w:r>
        <w:rPr>
          <w:rFonts w:hint="eastAsia" w:ascii="仿宋_GB2312" w:eastAsia="仿宋_GB2312"/>
          <w:color w:val="000000" w:themeColor="text1"/>
          <w:sz w:val="32"/>
          <w:szCs w:val="32"/>
        </w:rPr>
        <w:t>本</w:t>
      </w:r>
      <w:r>
        <w:rPr>
          <w:rFonts w:hint="eastAsia" w:ascii="仿宋_GB2312" w:eastAsia="仿宋_GB2312"/>
          <w:color w:val="000000" w:themeColor="text1"/>
          <w:sz w:val="32"/>
          <w:szCs w:val="32"/>
          <w:lang w:eastAsia="zh-CN"/>
        </w:rPr>
        <w:t>市区</w:t>
      </w:r>
      <w:r>
        <w:rPr>
          <w:rFonts w:hint="eastAsia" w:ascii="仿宋_GB2312" w:hAnsi="Times New Roman" w:eastAsia="仿宋_GB2312"/>
          <w:color w:val="000000" w:themeColor="text1"/>
          <w:kern w:val="0"/>
          <w:sz w:val="32"/>
          <w:szCs w:val="32"/>
        </w:rPr>
        <w:t>所属行政事业单位机构数、编制人数、实有人数等，</w:t>
      </w:r>
      <w:r>
        <w:rPr>
          <w:rFonts w:hint="eastAsia" w:ascii="仿宋_GB2312" w:hAnsi="Times New Roman" w:eastAsia="仿宋_GB2312"/>
          <w:color w:val="000000" w:themeColor="text1"/>
          <w:kern w:val="0"/>
          <w:sz w:val="32"/>
          <w:szCs w:val="32"/>
          <w:lang w:eastAsia="zh-CN"/>
        </w:rPr>
        <w:t>中央</w:t>
      </w:r>
      <w:r>
        <w:rPr>
          <w:rFonts w:hint="eastAsia" w:ascii="仿宋_GB2312" w:hAnsi="Times New Roman" w:eastAsia="仿宋_GB2312"/>
          <w:color w:val="000000" w:themeColor="text1"/>
          <w:kern w:val="0"/>
          <w:sz w:val="32"/>
          <w:szCs w:val="32"/>
        </w:rPr>
        <w:t>部门还应写明部门主要职责。</w:t>
      </w:r>
    </w:p>
    <w:p>
      <w:pPr>
        <w:pStyle w:val="12"/>
        <w:numPr>
          <w:ilvl w:val="0"/>
          <w:numId w:val="1"/>
        </w:numPr>
        <w:spacing w:line="360" w:lineRule="auto"/>
        <w:ind w:firstLineChars="0"/>
        <w:rPr>
          <w:rFonts w:ascii="黑体" w:eastAsia="黑体"/>
          <w:color w:val="000000" w:themeColor="text1"/>
          <w:sz w:val="32"/>
          <w:szCs w:val="32"/>
        </w:rPr>
      </w:pPr>
      <w:r>
        <w:rPr>
          <w:rFonts w:hint="eastAsia" w:ascii="黑体" w:hAnsi="仿宋" w:eastAsia="黑体"/>
          <w:color w:val="000000" w:themeColor="text1"/>
          <w:sz w:val="32"/>
          <w:szCs w:val="32"/>
        </w:rPr>
        <w:t>资产情况分析</w:t>
      </w:r>
    </w:p>
    <w:p>
      <w:pPr>
        <w:pStyle w:val="17"/>
        <w:ind w:left="159" w:leftChars="76" w:firstLine="640"/>
        <w:rPr>
          <w:rFonts w:ascii="仿宋_GB2312" w:hAnsi="华文仿宋" w:eastAsia="仿宋_GB2312" w:cs="华文仿宋"/>
          <w:b/>
          <w:bCs/>
          <w:kern w:val="0"/>
          <w:sz w:val="32"/>
          <w:szCs w:val="32"/>
        </w:rPr>
      </w:pPr>
      <w:r>
        <w:rPr>
          <w:rFonts w:hint="eastAsia" w:ascii="仿宋_GB2312" w:eastAsia="仿宋_GB2312"/>
          <w:color w:val="000000" w:themeColor="text1"/>
          <w:sz w:val="32"/>
          <w:szCs w:val="32"/>
        </w:rPr>
        <w:t>（一）资产的总体情况分析。主要包括本部门</w:t>
      </w:r>
      <w:r>
        <w:rPr>
          <w:rFonts w:hint="eastAsia" w:ascii="仿宋_GB2312" w:eastAsia="仿宋_GB2312"/>
          <w:color w:val="000000" w:themeColor="text1"/>
          <w:sz w:val="32"/>
          <w:szCs w:val="32"/>
          <w:lang w:eastAsia="zh-CN"/>
        </w:rPr>
        <w:t>、</w:t>
      </w:r>
      <w:r>
        <w:rPr>
          <w:rFonts w:hint="eastAsia" w:ascii="仿宋_GB2312" w:eastAsia="仿宋_GB2312"/>
          <w:color w:val="000000" w:themeColor="text1"/>
          <w:sz w:val="32"/>
          <w:szCs w:val="32"/>
        </w:rPr>
        <w:t>本</w:t>
      </w:r>
      <w:r>
        <w:rPr>
          <w:rFonts w:hint="eastAsia" w:ascii="仿宋_GB2312" w:eastAsia="仿宋_GB2312"/>
          <w:color w:val="000000" w:themeColor="text1"/>
          <w:sz w:val="32"/>
          <w:szCs w:val="32"/>
          <w:lang w:eastAsia="zh-CN"/>
        </w:rPr>
        <w:t>市区</w:t>
      </w:r>
      <w:r>
        <w:rPr>
          <w:rFonts w:hint="eastAsia" w:ascii="仿宋_GB2312" w:eastAsia="仿宋_GB2312"/>
          <w:color w:val="000000" w:themeColor="text1"/>
          <w:sz w:val="32"/>
          <w:szCs w:val="32"/>
        </w:rPr>
        <w:t>资产总量、分布、构成、变动等情况，同时可结合预算收支、债务、历年情况等对资产分布、构成、变动的原因</w:t>
      </w:r>
      <w:r>
        <w:rPr>
          <w:rFonts w:hint="eastAsia" w:ascii="仿宋_GB2312" w:eastAsia="仿宋_GB2312"/>
          <w:color w:val="000000" w:themeColor="text1"/>
          <w:sz w:val="32"/>
          <w:szCs w:val="32"/>
          <w:lang w:eastAsia="zh-CN"/>
        </w:rPr>
        <w:t>作</w:t>
      </w:r>
      <w:r>
        <w:rPr>
          <w:rFonts w:hint="eastAsia" w:ascii="仿宋_GB2312" w:eastAsia="仿宋_GB2312"/>
          <w:color w:val="000000" w:themeColor="text1"/>
          <w:sz w:val="32"/>
          <w:szCs w:val="32"/>
        </w:rPr>
        <w:t>出分析。其中</w:t>
      </w:r>
      <w:r>
        <w:rPr>
          <w:rFonts w:ascii="仿宋_GB2312" w:eastAsia="仿宋_GB2312"/>
          <w:color w:val="000000" w:themeColor="text1"/>
          <w:sz w:val="32"/>
          <w:szCs w:val="32"/>
        </w:rPr>
        <w:t>，构成情况包含流动资产、</w:t>
      </w:r>
      <w:r>
        <w:rPr>
          <w:rFonts w:hint="eastAsia" w:ascii="仿宋_GB2312" w:eastAsia="仿宋_GB2312"/>
          <w:color w:val="000000" w:themeColor="text1"/>
          <w:sz w:val="32"/>
          <w:szCs w:val="32"/>
        </w:rPr>
        <w:t>无形资产</w:t>
      </w:r>
      <w:r>
        <w:rPr>
          <w:rFonts w:ascii="仿宋_GB2312" w:eastAsia="仿宋_GB2312"/>
          <w:color w:val="000000" w:themeColor="text1"/>
          <w:sz w:val="32"/>
          <w:szCs w:val="32"/>
        </w:rPr>
        <w:t>、固定资产</w:t>
      </w:r>
      <w:r>
        <w:rPr>
          <w:rFonts w:hint="eastAsia" w:ascii="仿宋_GB2312" w:eastAsia="仿宋_GB2312"/>
          <w:color w:val="000000" w:themeColor="text1"/>
          <w:sz w:val="32"/>
          <w:szCs w:val="32"/>
        </w:rPr>
        <w:t>、在建工程、公共基础设施、政府储备物资、文物文化资产、保障性住房等</w:t>
      </w:r>
      <w:r>
        <w:rPr>
          <w:rFonts w:ascii="仿宋_GB2312" w:eastAsia="仿宋_GB2312"/>
          <w:color w:val="000000" w:themeColor="text1"/>
          <w:sz w:val="32"/>
          <w:szCs w:val="32"/>
        </w:rPr>
        <w:t>占</w:t>
      </w:r>
      <w:r>
        <w:rPr>
          <w:rFonts w:hint="eastAsia" w:ascii="仿宋_GB2312" w:eastAsia="仿宋_GB2312"/>
          <w:color w:val="000000" w:themeColor="text1"/>
          <w:sz w:val="32"/>
          <w:szCs w:val="32"/>
        </w:rPr>
        <w:t>资产总额比例</w:t>
      </w:r>
      <w:r>
        <w:rPr>
          <w:rFonts w:ascii="仿宋_GB2312" w:eastAsia="仿宋_GB2312"/>
          <w:color w:val="000000" w:themeColor="text1"/>
          <w:sz w:val="32"/>
          <w:szCs w:val="32"/>
        </w:rPr>
        <w:t>情况</w:t>
      </w:r>
      <w:r>
        <w:rPr>
          <w:rFonts w:hint="eastAsia" w:ascii="仿宋_GB2312" w:eastAsia="仿宋_GB2312"/>
          <w:color w:val="000000" w:themeColor="text1"/>
          <w:sz w:val="32"/>
          <w:szCs w:val="32"/>
        </w:rPr>
        <w:t>。资产变动情况包含总资产增长率、流动资产增长率、固定资产增长率、无形资产增长率、公共基础设施增长率、政府储备物资增长率、文物文化资产增长率、保障性住房增长率等。</w:t>
      </w:r>
    </w:p>
    <w:p>
      <w:pPr>
        <w:spacing w:line="360" w:lineRule="auto"/>
        <w:ind w:firstLine="633" w:firstLineChars="198"/>
        <w:rPr>
          <w:rFonts w:ascii="仿宋_GB2312" w:eastAsia="仿宋_GB2312"/>
          <w:color w:val="000000" w:themeColor="text1"/>
          <w:sz w:val="32"/>
          <w:szCs w:val="32"/>
          <w:highlight w:val="yellow"/>
        </w:rPr>
      </w:pPr>
    </w:p>
    <w:p>
      <w:pPr>
        <w:pStyle w:val="17"/>
        <w:ind w:left="159" w:leftChars="76" w:firstLine="640"/>
        <w:rPr>
          <w:rFonts w:ascii="仿宋_GB2312" w:eastAsia="仿宋_GB2312"/>
          <w:color w:val="000000" w:themeColor="text1"/>
          <w:sz w:val="32"/>
          <w:szCs w:val="32"/>
        </w:rPr>
      </w:pPr>
      <w:r>
        <w:rPr>
          <w:rFonts w:hint="eastAsia" w:ascii="仿宋_GB2312" w:eastAsia="仿宋_GB2312"/>
          <w:color w:val="000000" w:themeColor="text1"/>
          <w:sz w:val="32"/>
          <w:szCs w:val="32"/>
        </w:rPr>
        <w:t>（二）资产配置、使用、处置、收益情况分析。分析本部门</w:t>
      </w:r>
      <w:r>
        <w:rPr>
          <w:rFonts w:hint="eastAsia" w:ascii="仿宋_GB2312" w:eastAsia="仿宋_GB2312"/>
          <w:color w:val="000000" w:themeColor="text1"/>
          <w:sz w:val="32"/>
          <w:szCs w:val="32"/>
          <w:lang w:eastAsia="zh-CN"/>
        </w:rPr>
        <w:t>、</w:t>
      </w:r>
      <w:r>
        <w:rPr>
          <w:rFonts w:hint="eastAsia" w:ascii="仿宋_GB2312" w:eastAsia="仿宋_GB2312"/>
          <w:color w:val="000000" w:themeColor="text1"/>
          <w:sz w:val="32"/>
          <w:szCs w:val="32"/>
        </w:rPr>
        <w:t>本</w:t>
      </w:r>
      <w:r>
        <w:rPr>
          <w:rFonts w:hint="eastAsia" w:ascii="仿宋_GB2312" w:eastAsia="仿宋_GB2312"/>
          <w:color w:val="000000" w:themeColor="text1"/>
          <w:sz w:val="32"/>
          <w:szCs w:val="32"/>
          <w:lang w:eastAsia="zh-CN"/>
        </w:rPr>
        <w:t>市区</w:t>
      </w:r>
      <w:r>
        <w:rPr>
          <w:rFonts w:hint="eastAsia" w:ascii="仿宋_GB2312" w:eastAsia="仿宋_GB2312"/>
          <w:color w:val="000000" w:themeColor="text1"/>
          <w:sz w:val="32"/>
          <w:szCs w:val="32"/>
        </w:rPr>
        <w:t>资产整体配置、使用、处置、收益情况，特别是与部门、单位履行职能和促进行政管理、事业发展相关的重点资产的配置、使用、处置、收益等情况。其中，资产配置情况包含本期配置固定资产、无形资产和在建工程情况；资产使用情况包含本期新增出租出借资产及对外投资情况；资产收益情况包含利用国有资产对外投资、出租出借或处置国有资产取得的收益情况。</w:t>
      </w:r>
    </w:p>
    <w:p>
      <w:pPr>
        <w:tabs>
          <w:tab w:val="left" w:pos="8595"/>
        </w:tabs>
        <w:ind w:firstLine="640" w:firstLineChars="200"/>
        <w:rPr>
          <w:rFonts w:ascii="楷体_GB2312" w:hAnsi="楷体" w:eastAsia="仿宋_GB2312"/>
          <w:b/>
          <w:color w:val="000000" w:themeColor="text1"/>
          <w:kern w:val="0"/>
          <w:sz w:val="32"/>
          <w:szCs w:val="32"/>
        </w:rPr>
      </w:pPr>
      <w:r>
        <w:rPr>
          <w:rFonts w:hint="eastAsia" w:ascii="仿宋_GB2312" w:eastAsia="仿宋_GB2312"/>
          <w:color w:val="000000" w:themeColor="text1"/>
          <w:sz w:val="32"/>
          <w:szCs w:val="32"/>
        </w:rPr>
        <w:t>（三）资产总体绩效情况。分析本部门</w:t>
      </w:r>
      <w:r>
        <w:rPr>
          <w:rFonts w:hint="eastAsia" w:ascii="仿宋_GB2312" w:eastAsia="仿宋_GB2312"/>
          <w:color w:val="000000" w:themeColor="text1"/>
          <w:sz w:val="32"/>
          <w:szCs w:val="32"/>
          <w:lang w:eastAsia="zh-CN"/>
        </w:rPr>
        <w:t>、</w:t>
      </w:r>
      <w:r>
        <w:rPr>
          <w:rFonts w:hint="eastAsia" w:ascii="仿宋_GB2312" w:eastAsia="仿宋_GB2312"/>
          <w:color w:val="000000" w:themeColor="text1"/>
          <w:sz w:val="32"/>
          <w:szCs w:val="32"/>
        </w:rPr>
        <w:t>本</w:t>
      </w:r>
      <w:r>
        <w:rPr>
          <w:rFonts w:hint="eastAsia" w:ascii="仿宋_GB2312" w:eastAsia="仿宋_GB2312"/>
          <w:color w:val="000000" w:themeColor="text1"/>
          <w:sz w:val="32"/>
          <w:szCs w:val="32"/>
          <w:lang w:eastAsia="zh-CN"/>
        </w:rPr>
        <w:t>市区</w:t>
      </w:r>
      <w:r>
        <w:rPr>
          <w:rFonts w:hint="eastAsia" w:ascii="仿宋_GB2312" w:eastAsia="仿宋_GB2312"/>
          <w:color w:val="000000" w:themeColor="text1"/>
          <w:sz w:val="32"/>
          <w:szCs w:val="32"/>
        </w:rPr>
        <w:t>资产整体配置效率和使用效益、资产存量盘活和共享共用情况、资产保值增值情况等。其中，资产配置效率包含人均占有办公室使用面积、人均占有通用设备数量等主要指标分析；资产使用效益包含资产闲置率、出租出借收益率、对外投资收益率等主要指标分析。公共基础设施、政府储备物资、文物文化资产、保障性住房应包含资产入账转化率、增长率、运营效率等主要指标分析。</w:t>
      </w:r>
    </w:p>
    <w:p>
      <w:pPr>
        <w:ind w:firstLine="720" w:firstLineChars="225"/>
        <w:rPr>
          <w:rFonts w:ascii="黑体" w:hAnsi="黑体" w:eastAsia="黑体"/>
          <w:color w:val="000000" w:themeColor="text1"/>
          <w:sz w:val="32"/>
          <w:szCs w:val="32"/>
        </w:rPr>
      </w:pPr>
      <w:r>
        <w:rPr>
          <w:rFonts w:hint="eastAsia" w:ascii="黑体" w:hAnsi="黑体" w:eastAsia="黑体"/>
          <w:color w:val="000000" w:themeColor="text1"/>
          <w:sz w:val="32"/>
          <w:szCs w:val="32"/>
        </w:rPr>
        <w:t>三、资产管理工作情况及成效</w:t>
      </w:r>
    </w:p>
    <w:p>
      <w:pPr>
        <w:pStyle w:val="17"/>
        <w:ind w:left="159" w:leftChars="76" w:firstLine="640"/>
        <w:rPr>
          <w:rFonts w:ascii="仿宋_GB2312" w:hAnsi="楷体" w:eastAsia="仿宋_GB2312"/>
          <w:color w:val="000000" w:themeColor="text1"/>
          <w:kern w:val="0"/>
          <w:sz w:val="32"/>
          <w:szCs w:val="32"/>
        </w:rPr>
      </w:pPr>
      <w:r>
        <w:rPr>
          <w:rFonts w:hint="eastAsia" w:ascii="仿宋_GB2312" w:hAnsi="楷体" w:eastAsia="仿宋_GB2312"/>
          <w:color w:val="000000" w:themeColor="text1"/>
          <w:kern w:val="0"/>
          <w:sz w:val="32"/>
          <w:szCs w:val="32"/>
        </w:rPr>
        <w:t>（一）认真总结本部门、本</w:t>
      </w:r>
      <w:r>
        <w:rPr>
          <w:rFonts w:hint="eastAsia" w:ascii="仿宋_GB2312" w:hAnsi="楷体" w:eastAsia="仿宋_GB2312"/>
          <w:color w:val="000000" w:themeColor="text1"/>
          <w:kern w:val="0"/>
          <w:sz w:val="32"/>
          <w:szCs w:val="32"/>
          <w:lang w:eastAsia="zh-CN"/>
        </w:rPr>
        <w:t>市区</w:t>
      </w:r>
      <w:r>
        <w:rPr>
          <w:rFonts w:hint="eastAsia" w:ascii="仿宋_GB2312" w:hAnsi="楷体" w:eastAsia="仿宋_GB2312"/>
          <w:color w:val="000000" w:themeColor="text1"/>
          <w:kern w:val="0"/>
          <w:sz w:val="32"/>
          <w:szCs w:val="32"/>
        </w:rPr>
        <w:t>贯彻落实《行政事业性国有资产管理条例》</w:t>
      </w:r>
      <w:r>
        <w:rPr>
          <w:rFonts w:hint="eastAsia" w:ascii="仿宋_GB2312" w:eastAsia="仿宋_GB2312"/>
          <w:color w:val="000000" w:themeColor="text1"/>
          <w:sz w:val="32"/>
          <w:szCs w:val="32"/>
        </w:rPr>
        <w:t>（国务院令第738号）</w:t>
      </w:r>
      <w:r>
        <w:rPr>
          <w:rFonts w:hint="eastAsia" w:ascii="仿宋_GB2312" w:hAnsi="楷体" w:eastAsia="仿宋_GB2312"/>
          <w:color w:val="000000" w:themeColor="text1"/>
          <w:kern w:val="0"/>
          <w:sz w:val="32"/>
          <w:szCs w:val="32"/>
        </w:rPr>
        <w:t>举措，在制度制定、基础管理、配置使用和处置全流程管理以及信息化建设等方面的情况，重点反映加强资源统筹、提高资产运行绩效、加强调剂共享情况、强化固定资产管理等方面的举措。</w:t>
      </w:r>
      <w:r>
        <w:rPr>
          <w:rFonts w:hint="eastAsia" w:ascii="仿宋_GB2312" w:hAnsi="楷体" w:eastAsia="仿宋_GB2312"/>
          <w:color w:val="000000" w:themeColor="text1"/>
          <w:kern w:val="0"/>
          <w:sz w:val="32"/>
          <w:szCs w:val="32"/>
          <w:lang w:eastAsia="zh-CN"/>
        </w:rPr>
        <w:t>地方财政部门</w:t>
      </w:r>
      <w:r>
        <w:rPr>
          <w:rFonts w:hint="eastAsia" w:ascii="仿宋_GB2312" w:hAnsi="楷体" w:eastAsia="仿宋_GB2312"/>
          <w:color w:val="000000" w:themeColor="text1"/>
          <w:kern w:val="0"/>
          <w:sz w:val="32"/>
          <w:szCs w:val="32"/>
        </w:rPr>
        <w:t>应对本</w:t>
      </w:r>
      <w:r>
        <w:rPr>
          <w:rFonts w:hint="eastAsia" w:ascii="仿宋_GB2312" w:hAnsi="楷体" w:eastAsia="仿宋_GB2312"/>
          <w:color w:val="000000" w:themeColor="text1"/>
          <w:kern w:val="0"/>
          <w:sz w:val="32"/>
          <w:szCs w:val="32"/>
          <w:lang w:eastAsia="zh-CN"/>
        </w:rPr>
        <w:t>市区</w:t>
      </w:r>
      <w:r>
        <w:rPr>
          <w:rFonts w:hint="eastAsia" w:ascii="仿宋_GB2312" w:hAnsi="楷体" w:eastAsia="仿宋_GB2312"/>
          <w:color w:val="000000" w:themeColor="text1"/>
          <w:kern w:val="0"/>
          <w:sz w:val="32"/>
          <w:szCs w:val="32"/>
        </w:rPr>
        <w:t>资产管理信息系统建设情况和融入预算一体化系统的工作进行总结。</w:t>
      </w:r>
    </w:p>
    <w:p>
      <w:pPr>
        <w:pStyle w:val="17"/>
        <w:ind w:left="159" w:leftChars="76" w:firstLine="640"/>
        <w:rPr>
          <w:rFonts w:ascii="仿宋_GB2312" w:hAnsi="华文仿宋" w:eastAsia="仿宋_GB2312" w:cs="华文仿宋"/>
          <w:color w:val="000000" w:themeColor="text1"/>
          <w:kern w:val="0"/>
          <w:sz w:val="32"/>
          <w:szCs w:val="32"/>
        </w:rPr>
      </w:pPr>
      <w:r>
        <w:rPr>
          <w:rFonts w:hint="eastAsia" w:ascii="仿宋_GB2312" w:hAnsi="楷体" w:eastAsia="仿宋_GB2312"/>
          <w:color w:val="000000" w:themeColor="text1"/>
          <w:kern w:val="0"/>
          <w:sz w:val="32"/>
          <w:szCs w:val="32"/>
        </w:rPr>
        <w:t>（二）全面反映本部门、本</w:t>
      </w:r>
      <w:r>
        <w:rPr>
          <w:rFonts w:hint="eastAsia" w:ascii="仿宋_GB2312" w:hAnsi="楷体" w:eastAsia="仿宋_GB2312"/>
          <w:color w:val="000000" w:themeColor="text1"/>
          <w:kern w:val="0"/>
          <w:sz w:val="32"/>
          <w:szCs w:val="32"/>
          <w:lang w:eastAsia="zh-CN"/>
        </w:rPr>
        <w:t>市区</w:t>
      </w:r>
      <w:r>
        <w:rPr>
          <w:rFonts w:hint="eastAsia" w:ascii="仿宋_GB2312" w:hAnsi="楷体" w:eastAsia="仿宋_GB2312"/>
          <w:color w:val="000000" w:themeColor="text1"/>
          <w:kern w:val="0"/>
          <w:sz w:val="32"/>
          <w:szCs w:val="32"/>
        </w:rPr>
        <w:t>行政事业性国有资产管理在贯彻落实党中央、国务院决策部署，保障</w:t>
      </w:r>
      <w:r>
        <w:rPr>
          <w:rFonts w:hint="eastAsia" w:ascii="仿宋_GB2312" w:hAnsi="楷体" w:eastAsia="仿宋_GB2312"/>
          <w:color w:val="000000" w:themeColor="text1"/>
          <w:kern w:val="0"/>
          <w:sz w:val="32"/>
          <w:szCs w:val="32"/>
          <w:lang w:eastAsia="zh-CN"/>
        </w:rPr>
        <w:t>行政</w:t>
      </w:r>
      <w:r>
        <w:rPr>
          <w:rFonts w:hint="eastAsia" w:ascii="仿宋_GB2312" w:hAnsi="楷体" w:eastAsia="仿宋_GB2312"/>
          <w:color w:val="000000" w:themeColor="text1"/>
          <w:kern w:val="0"/>
          <w:sz w:val="32"/>
          <w:szCs w:val="32"/>
        </w:rPr>
        <w:t>运转</w:t>
      </w:r>
      <w:r>
        <w:rPr>
          <w:rFonts w:hint="eastAsia" w:ascii="仿宋_GB2312" w:hAnsi="华文仿宋" w:eastAsia="仿宋_GB2312" w:cs="华文仿宋"/>
          <w:color w:val="000000" w:themeColor="text1"/>
          <w:kern w:val="0"/>
          <w:sz w:val="32"/>
          <w:szCs w:val="32"/>
        </w:rPr>
        <w:t>，</w:t>
      </w:r>
      <w:r>
        <w:rPr>
          <w:rFonts w:hint="eastAsia" w:ascii="仿宋_GB2312" w:hAnsi="楷体" w:eastAsia="仿宋_GB2312"/>
          <w:color w:val="000000" w:themeColor="text1"/>
          <w:kern w:val="0"/>
          <w:sz w:val="32"/>
          <w:szCs w:val="32"/>
        </w:rPr>
        <w:t>提供社会</w:t>
      </w:r>
      <w:r>
        <w:rPr>
          <w:rFonts w:hint="eastAsia" w:ascii="仿宋_GB2312" w:hAnsi="华文仿宋" w:eastAsia="仿宋_GB2312" w:cs="华文仿宋"/>
          <w:color w:val="000000" w:themeColor="text1"/>
          <w:kern w:val="0"/>
          <w:sz w:val="32"/>
          <w:szCs w:val="32"/>
        </w:rPr>
        <w:t>公共服务以及</w:t>
      </w:r>
      <w:r>
        <w:rPr>
          <w:rFonts w:hint="eastAsia" w:ascii="仿宋_GB2312" w:hAnsi="楷体" w:eastAsia="仿宋_GB2312"/>
          <w:color w:val="000000" w:themeColor="text1"/>
          <w:kern w:val="0"/>
          <w:sz w:val="32"/>
          <w:szCs w:val="32"/>
        </w:rPr>
        <w:t>推进行政事业单位各项改革</w:t>
      </w:r>
      <w:r>
        <w:rPr>
          <w:rFonts w:hint="eastAsia" w:ascii="仿宋_GB2312" w:hAnsi="华文仿宋" w:eastAsia="仿宋_GB2312" w:cs="华文仿宋"/>
          <w:color w:val="000000" w:themeColor="text1"/>
          <w:kern w:val="0"/>
          <w:sz w:val="32"/>
          <w:szCs w:val="32"/>
        </w:rPr>
        <w:t>等方面所发挥的</w:t>
      </w:r>
      <w:r>
        <w:rPr>
          <w:rFonts w:hint="eastAsia" w:ascii="仿宋_GB2312" w:hAnsi="楷体" w:eastAsia="仿宋_GB2312"/>
          <w:color w:val="000000" w:themeColor="text1"/>
          <w:kern w:val="0"/>
          <w:sz w:val="32"/>
          <w:szCs w:val="32"/>
        </w:rPr>
        <w:t>积极</w:t>
      </w:r>
      <w:r>
        <w:rPr>
          <w:rFonts w:hint="eastAsia" w:ascii="仿宋_GB2312" w:hAnsi="华文仿宋" w:eastAsia="仿宋_GB2312" w:cs="华文仿宋"/>
          <w:color w:val="000000" w:themeColor="text1"/>
          <w:kern w:val="0"/>
          <w:sz w:val="32"/>
          <w:szCs w:val="32"/>
        </w:rPr>
        <w:t>作用。重点反映</w:t>
      </w:r>
      <w:r>
        <w:rPr>
          <w:rFonts w:hint="eastAsia" w:ascii="仿宋_GB2312" w:hAnsi="楷体" w:eastAsia="仿宋_GB2312"/>
          <w:color w:val="000000" w:themeColor="text1"/>
          <w:kern w:val="0"/>
          <w:sz w:val="32"/>
          <w:szCs w:val="32"/>
        </w:rPr>
        <w:t>教育、卫生、文化、科技等行业</w:t>
      </w:r>
      <w:r>
        <w:rPr>
          <w:rFonts w:hint="eastAsia" w:ascii="仿宋_GB2312" w:hAnsi="华文仿宋" w:eastAsia="仿宋_GB2312" w:cs="华文仿宋"/>
          <w:color w:val="000000" w:themeColor="text1"/>
          <w:kern w:val="0"/>
          <w:sz w:val="32"/>
          <w:szCs w:val="32"/>
        </w:rPr>
        <w:t>资产在抗击新冠肺炎疫情、促进公共服务均等化、助力乡村振兴、提升创新能力等工作中发挥的作用。</w:t>
      </w:r>
    </w:p>
    <w:p>
      <w:pPr>
        <w:pStyle w:val="17"/>
        <w:ind w:left="159" w:leftChars="76" w:firstLine="640"/>
        <w:rPr>
          <w:rFonts w:hint="eastAsia" w:ascii="仿宋_GB2312" w:eastAsia="仿宋_GB2312"/>
          <w:sz w:val="32"/>
          <w:szCs w:val="32"/>
          <w:lang w:eastAsia="zh-CN"/>
        </w:rPr>
      </w:pPr>
      <w:r>
        <w:rPr>
          <w:rFonts w:hint="eastAsia" w:ascii="仿宋_GB2312" w:hAnsi="华文仿宋" w:eastAsia="仿宋_GB2312" w:cs="华文仿宋"/>
          <w:color w:val="000000" w:themeColor="text1"/>
          <w:kern w:val="0"/>
          <w:sz w:val="32"/>
          <w:szCs w:val="32"/>
        </w:rPr>
        <w:t>（三）全面总结</w:t>
      </w:r>
      <w:r>
        <w:rPr>
          <w:rFonts w:hint="eastAsia" w:ascii="仿宋_GB2312" w:hAnsi="楷体" w:eastAsia="仿宋_GB2312"/>
          <w:color w:val="000000" w:themeColor="text1"/>
          <w:kern w:val="0"/>
          <w:sz w:val="32"/>
          <w:szCs w:val="32"/>
        </w:rPr>
        <w:t>本部门、本</w:t>
      </w:r>
      <w:r>
        <w:rPr>
          <w:rFonts w:hint="eastAsia" w:ascii="仿宋_GB2312" w:hAnsi="楷体" w:eastAsia="仿宋_GB2312"/>
          <w:color w:val="000000" w:themeColor="text1"/>
          <w:kern w:val="0"/>
          <w:sz w:val="32"/>
          <w:szCs w:val="32"/>
          <w:lang w:eastAsia="zh-CN"/>
        </w:rPr>
        <w:t>市区</w:t>
      </w:r>
      <w:r>
        <w:rPr>
          <w:rFonts w:hint="eastAsia" w:ascii="仿宋_GB2312" w:hAnsi="楷体" w:eastAsia="仿宋_GB2312"/>
          <w:color w:val="000000" w:themeColor="text1"/>
          <w:kern w:val="0"/>
          <w:sz w:val="32"/>
          <w:szCs w:val="32"/>
        </w:rPr>
        <w:t>公共基础设施等行政事业性国有资产管理情况，</w:t>
      </w:r>
      <w:r>
        <w:rPr>
          <w:rFonts w:hint="eastAsia" w:ascii="仿宋_GB2312" w:eastAsia="仿宋_GB2312"/>
          <w:color w:val="000000" w:themeColor="text1"/>
          <w:sz w:val="32"/>
          <w:szCs w:val="32"/>
          <w:lang w:val="en"/>
        </w:rPr>
        <w:t>重点反映公共租赁住房资产、公路资产专项清查情况。</w:t>
      </w:r>
      <w:r>
        <w:rPr>
          <w:rFonts w:hint="eastAsia" w:ascii="仿宋_GB2312" w:hAnsi="楷体" w:eastAsia="仿宋_GB2312"/>
          <w:kern w:val="0"/>
          <w:sz w:val="32"/>
          <w:szCs w:val="32"/>
          <w:lang w:eastAsia="zh-CN"/>
        </w:rPr>
        <w:t>各</w:t>
      </w:r>
      <w:r>
        <w:rPr>
          <w:rFonts w:hint="eastAsia" w:ascii="仿宋_GB2312" w:eastAsia="仿宋_GB2312"/>
          <w:b w:val="0"/>
          <w:bCs w:val="0"/>
          <w:sz w:val="32"/>
          <w:szCs w:val="32"/>
          <w:lang w:eastAsia="zh-CN"/>
        </w:rPr>
        <w:t>市（区）</w:t>
      </w:r>
      <w:r>
        <w:rPr>
          <w:rFonts w:hint="eastAsia" w:ascii="仿宋_GB2312" w:eastAsia="仿宋_GB2312"/>
          <w:sz w:val="32"/>
          <w:szCs w:val="32"/>
        </w:rPr>
        <w:t>财政</w:t>
      </w:r>
      <w:r>
        <w:rPr>
          <w:rFonts w:hint="eastAsia" w:ascii="仿宋_GB2312" w:eastAsia="仿宋_GB2312"/>
          <w:sz w:val="32"/>
          <w:szCs w:val="32"/>
          <w:lang w:eastAsia="zh-CN"/>
        </w:rPr>
        <w:t>局</w:t>
      </w:r>
      <w:r>
        <w:rPr>
          <w:rFonts w:hint="eastAsia" w:ascii="仿宋_GB2312" w:hAnsi="宋体" w:eastAsia="仿宋_GB2312" w:cs="宋体"/>
          <w:sz w:val="32"/>
          <w:szCs w:val="32"/>
          <w:lang w:val="en-US" w:eastAsia="zh-CN"/>
        </w:rPr>
        <w:t>以及省交通运输厅、省水利厅、省文物局、省应急管理厅等涉及公共基础设施管理的部门还应重点报告推进公共基础设施入账的有关情况</w:t>
      </w:r>
      <w:r>
        <w:rPr>
          <w:rFonts w:hint="eastAsia" w:ascii="仿宋_GB2312" w:eastAsia="仿宋_GB2312"/>
          <w:sz w:val="32"/>
          <w:szCs w:val="32"/>
          <w:lang w:eastAsia="zh-CN"/>
        </w:rPr>
        <w:t>。</w:t>
      </w:r>
    </w:p>
    <w:p>
      <w:pPr>
        <w:pStyle w:val="17"/>
        <w:ind w:left="159" w:leftChars="76" w:firstLine="640"/>
        <w:rPr>
          <w:rFonts w:ascii="仿宋_GB2312" w:hAnsi="楷体" w:eastAsia="仿宋_GB2312"/>
          <w:color w:val="000000" w:themeColor="text1"/>
          <w:kern w:val="0"/>
          <w:sz w:val="32"/>
          <w:szCs w:val="32"/>
        </w:rPr>
      </w:pPr>
      <w:r>
        <w:rPr>
          <w:rFonts w:hint="eastAsia" w:ascii="仿宋_GB2312" w:eastAsia="仿宋_GB2312"/>
          <w:color w:val="000000" w:themeColor="text1"/>
          <w:sz w:val="32"/>
          <w:szCs w:val="32"/>
        </w:rPr>
        <w:t>（四）</w:t>
      </w:r>
      <w:r>
        <w:rPr>
          <w:rFonts w:hint="eastAsia" w:ascii="仿宋_GB2312" w:hAnsi="华文仿宋" w:eastAsia="仿宋_GB2312" w:cs="华文仿宋"/>
          <w:kern w:val="0"/>
          <w:sz w:val="32"/>
          <w:szCs w:val="32"/>
        </w:rPr>
        <w:t>全面总结</w:t>
      </w:r>
      <w:r>
        <w:rPr>
          <w:rFonts w:hint="eastAsia" w:ascii="仿宋_GB2312" w:hAnsi="楷体" w:eastAsia="仿宋_GB2312"/>
          <w:kern w:val="0"/>
          <w:sz w:val="32"/>
          <w:szCs w:val="32"/>
        </w:rPr>
        <w:t>本部门、本</w:t>
      </w:r>
      <w:r>
        <w:rPr>
          <w:rFonts w:hint="eastAsia" w:ascii="仿宋_GB2312" w:eastAsia="仿宋_GB2312"/>
          <w:b w:val="0"/>
          <w:bCs w:val="0"/>
          <w:sz w:val="32"/>
          <w:szCs w:val="32"/>
          <w:lang w:eastAsia="zh-CN"/>
        </w:rPr>
        <w:t>市（区）推进</w:t>
      </w:r>
      <w:r>
        <w:rPr>
          <w:rFonts w:hint="eastAsia" w:ascii="仿宋_GB2312" w:hAnsi="楷体" w:eastAsia="仿宋_GB2312"/>
          <w:kern w:val="0"/>
          <w:sz w:val="32"/>
          <w:szCs w:val="32"/>
          <w:lang w:eastAsia="zh-CN"/>
        </w:rPr>
        <w:t>经营性资产集中统一监管进展</w:t>
      </w:r>
      <w:r>
        <w:rPr>
          <w:rFonts w:hint="eastAsia" w:ascii="仿宋_GB2312" w:hAnsi="楷体" w:eastAsia="仿宋_GB2312"/>
          <w:kern w:val="0"/>
          <w:sz w:val="32"/>
          <w:szCs w:val="32"/>
        </w:rPr>
        <w:t>情况。</w:t>
      </w:r>
    </w:p>
    <w:p>
      <w:pPr>
        <w:pStyle w:val="17"/>
        <w:ind w:left="159" w:leftChars="76" w:firstLine="640"/>
        <w:rPr>
          <w:rFonts w:ascii="仿宋_GB2312" w:hAnsi="华文仿宋" w:eastAsia="仿宋_GB2312" w:cs="华文仿宋"/>
          <w:color w:val="000000" w:themeColor="text1"/>
          <w:kern w:val="0"/>
          <w:sz w:val="32"/>
          <w:szCs w:val="32"/>
        </w:rPr>
      </w:pPr>
      <w:r>
        <w:rPr>
          <w:rFonts w:hint="eastAsia" w:ascii="仿宋_GB2312" w:eastAsia="仿宋_GB2312"/>
          <w:color w:val="000000" w:themeColor="text1"/>
          <w:sz w:val="32"/>
          <w:szCs w:val="32"/>
        </w:rPr>
        <w:t>（</w:t>
      </w:r>
      <w:r>
        <w:rPr>
          <w:rFonts w:hint="eastAsia" w:ascii="仿宋_GB2312" w:eastAsia="仿宋_GB2312"/>
          <w:color w:val="000000" w:themeColor="text1"/>
          <w:sz w:val="32"/>
          <w:szCs w:val="32"/>
          <w:lang w:eastAsia="zh-CN"/>
        </w:rPr>
        <w:t>五</w:t>
      </w:r>
      <w:r>
        <w:rPr>
          <w:rFonts w:hint="eastAsia" w:ascii="仿宋_GB2312" w:eastAsia="仿宋_GB2312"/>
          <w:color w:val="000000" w:themeColor="text1"/>
          <w:sz w:val="32"/>
          <w:szCs w:val="32"/>
        </w:rPr>
        <w:t>）梳理</w:t>
      </w:r>
      <w:r>
        <w:rPr>
          <w:rFonts w:hint="eastAsia" w:ascii="仿宋_GB2312" w:hAnsi="华文仿宋" w:eastAsia="仿宋_GB2312" w:cs="华文仿宋"/>
          <w:bCs/>
          <w:color w:val="000000" w:themeColor="text1"/>
          <w:kern w:val="0"/>
          <w:sz w:val="32"/>
          <w:szCs w:val="32"/>
        </w:rPr>
        <w:t>人大、审计、巡视等提出的</w:t>
      </w:r>
      <w:r>
        <w:rPr>
          <w:rFonts w:hint="eastAsia" w:ascii="仿宋_GB2312" w:hAnsi="华文仿宋" w:eastAsia="仿宋_GB2312" w:cs="华文仿宋"/>
          <w:bCs/>
          <w:color w:val="000000" w:themeColor="text1"/>
          <w:kern w:val="0"/>
          <w:sz w:val="32"/>
          <w:szCs w:val="32"/>
          <w:lang w:eastAsia="zh-CN"/>
        </w:rPr>
        <w:t>行政事业性国有</w:t>
      </w:r>
      <w:r>
        <w:rPr>
          <w:rFonts w:hint="eastAsia" w:ascii="仿宋_GB2312" w:hAnsi="华文仿宋" w:eastAsia="仿宋_GB2312" w:cs="华文仿宋"/>
          <w:bCs/>
          <w:color w:val="000000" w:themeColor="text1"/>
          <w:kern w:val="0"/>
          <w:sz w:val="32"/>
          <w:szCs w:val="32"/>
        </w:rPr>
        <w:t>资产管理问题及建议，总结整改措施和整改进展情况。</w:t>
      </w:r>
    </w:p>
    <w:p>
      <w:pPr>
        <w:spacing w:line="360" w:lineRule="auto"/>
        <w:ind w:firstLine="640" w:firstLineChars="200"/>
        <w:rPr>
          <w:rFonts w:hint="eastAsia" w:ascii="黑体" w:hAnsi="黑体" w:eastAsia="黑体"/>
          <w:color w:val="000000" w:themeColor="text1"/>
          <w:sz w:val="32"/>
          <w:szCs w:val="32"/>
          <w:lang w:eastAsia="zh-CN"/>
        </w:rPr>
      </w:pPr>
      <w:r>
        <w:rPr>
          <w:rFonts w:hint="eastAsia" w:ascii="黑体" w:hAnsi="仿宋" w:eastAsia="黑体"/>
          <w:color w:val="000000" w:themeColor="text1"/>
          <w:sz w:val="32"/>
          <w:szCs w:val="32"/>
        </w:rPr>
        <w:t>四、</w:t>
      </w:r>
      <w:r>
        <w:rPr>
          <w:rFonts w:hint="eastAsia" w:ascii="黑体" w:hAnsi="黑体" w:eastAsia="黑体"/>
          <w:color w:val="000000" w:themeColor="text1"/>
          <w:sz w:val="32"/>
          <w:szCs w:val="32"/>
        </w:rPr>
        <w:t>资产管理工作存在的问题及</w:t>
      </w:r>
      <w:r>
        <w:rPr>
          <w:rFonts w:hint="eastAsia" w:ascii="黑体" w:hAnsi="黑体" w:eastAsia="黑体"/>
          <w:color w:val="000000" w:themeColor="text1"/>
          <w:sz w:val="32"/>
          <w:szCs w:val="32"/>
          <w:lang w:eastAsia="zh-CN"/>
        </w:rPr>
        <w:t>建议</w:t>
      </w:r>
    </w:p>
    <w:p>
      <w:pPr>
        <w:ind w:firstLine="640" w:firstLineChars="200"/>
        <w:rPr>
          <w:rFonts w:ascii="黑体" w:hAnsi="黑体" w:eastAsia="黑体"/>
          <w:color w:val="000000" w:themeColor="text1"/>
          <w:sz w:val="32"/>
          <w:szCs w:val="32"/>
        </w:rPr>
      </w:pPr>
      <w:r>
        <w:rPr>
          <w:rFonts w:hint="eastAsia" w:ascii="仿宋_GB2312" w:eastAsia="仿宋_GB2312"/>
          <w:color w:val="000000" w:themeColor="text1"/>
          <w:sz w:val="32"/>
          <w:szCs w:val="32"/>
          <w:lang w:val="en-US" w:eastAsia="zh-CN"/>
        </w:rPr>
        <w:t xml:space="preserve"> </w:t>
      </w:r>
      <w:r>
        <w:rPr>
          <w:rFonts w:hint="eastAsia" w:ascii="仿宋_GB2312" w:eastAsia="仿宋_GB2312"/>
          <w:color w:val="000000" w:themeColor="text1"/>
          <w:sz w:val="32"/>
          <w:szCs w:val="32"/>
        </w:rPr>
        <w:t>对照</w:t>
      </w:r>
      <w:r>
        <w:rPr>
          <w:rFonts w:hint="eastAsia" w:ascii="仿宋_GB2312" w:hAnsi="楷体" w:eastAsia="仿宋_GB2312"/>
          <w:color w:val="000000" w:themeColor="text1"/>
          <w:kern w:val="0"/>
          <w:sz w:val="32"/>
          <w:szCs w:val="32"/>
          <w:lang w:eastAsia="zh-CN"/>
        </w:rPr>
        <w:t>《</w:t>
      </w:r>
      <w:r>
        <w:rPr>
          <w:rFonts w:hint="eastAsia" w:ascii="仿宋_GB2312" w:hAnsi="楷体" w:eastAsia="仿宋_GB2312"/>
          <w:color w:val="000000" w:themeColor="text1"/>
          <w:kern w:val="0"/>
          <w:sz w:val="32"/>
          <w:szCs w:val="32"/>
        </w:rPr>
        <w:t>行政事业性国有资产管理条例》</w:t>
      </w:r>
      <w:r>
        <w:rPr>
          <w:rFonts w:hint="eastAsia" w:ascii="仿宋_GB2312" w:eastAsia="仿宋_GB2312"/>
          <w:color w:val="000000" w:themeColor="text1"/>
          <w:sz w:val="32"/>
          <w:szCs w:val="32"/>
        </w:rPr>
        <w:t>（国务院令第738号）等</w:t>
      </w:r>
      <w:r>
        <w:rPr>
          <w:rFonts w:ascii="仿宋_GB2312" w:eastAsia="仿宋_GB2312"/>
          <w:color w:val="000000" w:themeColor="text1"/>
          <w:sz w:val="32"/>
          <w:szCs w:val="32"/>
        </w:rPr>
        <w:t>文件要求，</w:t>
      </w:r>
      <w:r>
        <w:rPr>
          <w:rFonts w:hint="eastAsia" w:ascii="仿宋_GB2312" w:eastAsia="仿宋_GB2312"/>
          <w:color w:val="000000" w:themeColor="text1"/>
          <w:sz w:val="32"/>
          <w:szCs w:val="32"/>
        </w:rPr>
        <w:t>对</w:t>
      </w:r>
      <w:r>
        <w:rPr>
          <w:rFonts w:hint="eastAsia" w:ascii="仿宋_GB2312" w:hAnsi="华文仿宋" w:eastAsia="仿宋_GB2312" w:cs="华文仿宋"/>
          <w:bCs/>
          <w:color w:val="000000" w:themeColor="text1"/>
          <w:kern w:val="0"/>
          <w:sz w:val="32"/>
          <w:szCs w:val="32"/>
          <w:lang w:eastAsia="zh-CN"/>
        </w:rPr>
        <w:t>行政事业性国有</w:t>
      </w:r>
      <w:r>
        <w:rPr>
          <w:rFonts w:hint="eastAsia" w:ascii="仿宋_GB2312" w:eastAsia="仿宋_GB2312"/>
          <w:color w:val="000000" w:themeColor="text1"/>
          <w:sz w:val="32"/>
          <w:szCs w:val="32"/>
        </w:rPr>
        <w:t>资产管理各方面存在的问题进行梳理和自查，提出下一步推进资产管理的工作思路。重点就加强货币资金管理、规范公共基础设施类资产会计核算、推进在建工程转固等方面提出工作措施。</w:t>
      </w:r>
    </w:p>
    <w:p>
      <w:pPr>
        <w:ind w:firstLine="720" w:firstLineChars="225"/>
        <w:rPr>
          <w:rFonts w:ascii="黑体" w:eastAsia="黑体"/>
          <w:color w:val="000000" w:themeColor="text1"/>
          <w:sz w:val="32"/>
          <w:szCs w:val="32"/>
        </w:rPr>
      </w:pPr>
      <w:r>
        <w:rPr>
          <w:rFonts w:hint="eastAsia" w:ascii="黑体" w:hAnsi="仿宋" w:eastAsia="黑体"/>
          <w:color w:val="000000" w:themeColor="text1"/>
          <w:sz w:val="32"/>
          <w:szCs w:val="32"/>
        </w:rPr>
        <w:t>五、其他需要报告的重要事项</w:t>
      </w:r>
    </w:p>
    <w:p>
      <w:pPr>
        <w:spacing w:line="360" w:lineRule="auto"/>
        <w:ind w:firstLine="640" w:firstLineChars="200"/>
        <w:rPr>
          <w:rFonts w:ascii="仿宋_GB2312" w:eastAsia="仿宋_GB2312"/>
          <w:color w:val="000000" w:themeColor="text1"/>
          <w:sz w:val="32"/>
          <w:szCs w:val="32"/>
        </w:rPr>
      </w:pPr>
      <w:r>
        <w:rPr>
          <w:rFonts w:hint="eastAsia" w:ascii="仿宋_GB2312" w:hAnsi="楷体" w:eastAsia="仿宋_GB2312"/>
          <w:color w:val="000000" w:themeColor="text1"/>
          <w:kern w:val="0"/>
          <w:sz w:val="32"/>
          <w:szCs w:val="32"/>
        </w:rPr>
        <w:t>（一）</w:t>
      </w:r>
      <w:r>
        <w:rPr>
          <w:rFonts w:hint="eastAsia" w:ascii="仿宋_GB2312" w:eastAsia="仿宋_GB2312"/>
          <w:color w:val="000000" w:themeColor="text1"/>
          <w:sz w:val="32"/>
          <w:szCs w:val="32"/>
        </w:rPr>
        <w:t>对本部门</w:t>
      </w:r>
      <w:r>
        <w:rPr>
          <w:rFonts w:hint="eastAsia" w:ascii="仿宋_GB2312" w:eastAsia="仿宋_GB2312"/>
          <w:color w:val="000000" w:themeColor="text1"/>
          <w:sz w:val="32"/>
          <w:szCs w:val="32"/>
          <w:lang w:eastAsia="zh-CN"/>
        </w:rPr>
        <w:t>、</w:t>
      </w:r>
      <w:r>
        <w:rPr>
          <w:rFonts w:hint="eastAsia" w:ascii="仿宋_GB2312" w:eastAsia="仿宋_GB2312"/>
          <w:color w:val="000000" w:themeColor="text1"/>
          <w:sz w:val="32"/>
          <w:szCs w:val="32"/>
        </w:rPr>
        <w:t>本</w:t>
      </w:r>
      <w:r>
        <w:rPr>
          <w:rFonts w:hint="eastAsia" w:ascii="仿宋_GB2312" w:eastAsia="仿宋_GB2312"/>
          <w:color w:val="000000" w:themeColor="text1"/>
          <w:sz w:val="32"/>
          <w:szCs w:val="32"/>
          <w:lang w:eastAsia="zh-CN"/>
        </w:rPr>
        <w:t>市区</w:t>
      </w:r>
      <w:r>
        <w:rPr>
          <w:rFonts w:hint="eastAsia" w:ascii="仿宋_GB2312" w:eastAsia="仿宋_GB2312"/>
          <w:color w:val="000000" w:themeColor="text1"/>
          <w:sz w:val="32"/>
          <w:szCs w:val="32"/>
        </w:rPr>
        <w:t>财产损失、权属</w:t>
      </w:r>
      <w:r>
        <w:rPr>
          <w:rFonts w:ascii="仿宋_GB2312" w:eastAsia="仿宋_GB2312"/>
          <w:color w:val="000000" w:themeColor="text1"/>
          <w:sz w:val="32"/>
          <w:szCs w:val="32"/>
        </w:rPr>
        <w:t>不清晰的</w:t>
      </w:r>
      <w:r>
        <w:rPr>
          <w:rFonts w:hint="eastAsia" w:ascii="仿宋_GB2312" w:eastAsia="仿宋_GB2312"/>
          <w:color w:val="000000" w:themeColor="text1"/>
          <w:sz w:val="32"/>
          <w:szCs w:val="32"/>
        </w:rPr>
        <w:t>重要</w:t>
      </w:r>
      <w:r>
        <w:rPr>
          <w:rFonts w:ascii="仿宋_GB2312" w:eastAsia="仿宋_GB2312"/>
          <w:color w:val="000000" w:themeColor="text1"/>
          <w:sz w:val="32"/>
          <w:szCs w:val="32"/>
        </w:rPr>
        <w:t>资产情况</w:t>
      </w:r>
      <w:r>
        <w:rPr>
          <w:rFonts w:hint="eastAsia" w:ascii="仿宋_GB2312" w:eastAsia="仿宋_GB2312"/>
          <w:color w:val="000000" w:themeColor="text1"/>
          <w:sz w:val="32"/>
          <w:szCs w:val="32"/>
        </w:rPr>
        <w:t>以及其他重要事项进行详细分析说明。</w:t>
      </w:r>
    </w:p>
    <w:p>
      <w:pPr>
        <w:pStyle w:val="3"/>
        <w:ind w:firstLine="640"/>
        <w:rPr>
          <w:rFonts w:hAnsi="Calibri"/>
          <w:color w:val="000000" w:themeColor="text1"/>
          <w:kern w:val="2"/>
          <w:sz w:val="32"/>
          <w:szCs w:val="32"/>
        </w:rPr>
      </w:pPr>
      <w:r>
        <w:rPr>
          <w:rFonts w:hint="eastAsia" w:ascii="仿宋_GB2312" w:hAnsi="楷体" w:eastAsia="仿宋_GB2312"/>
          <w:color w:val="000000" w:themeColor="text1"/>
          <w:kern w:val="0"/>
          <w:sz w:val="32"/>
          <w:szCs w:val="32"/>
        </w:rPr>
        <w:t>（</w:t>
      </w:r>
      <w:r>
        <w:rPr>
          <w:rFonts w:hint="eastAsia" w:hAnsi="楷体"/>
          <w:color w:val="000000" w:themeColor="text1"/>
          <w:kern w:val="0"/>
          <w:sz w:val="32"/>
          <w:szCs w:val="32"/>
          <w:lang w:eastAsia="zh-CN"/>
        </w:rPr>
        <w:t>二</w:t>
      </w:r>
      <w:r>
        <w:rPr>
          <w:rFonts w:hint="eastAsia" w:ascii="仿宋_GB2312" w:hAnsi="楷体" w:eastAsia="仿宋_GB2312"/>
          <w:color w:val="000000" w:themeColor="text1"/>
          <w:kern w:val="0"/>
          <w:sz w:val="32"/>
          <w:szCs w:val="32"/>
        </w:rPr>
        <w:t>）</w:t>
      </w:r>
      <w:r>
        <w:rPr>
          <w:rFonts w:hint="eastAsia" w:ascii="仿宋_GB2312" w:eastAsia="仿宋_GB2312"/>
          <w:color w:val="000000" w:themeColor="text1"/>
          <w:sz w:val="32"/>
          <w:szCs w:val="32"/>
        </w:rPr>
        <w:t>本部门</w:t>
      </w:r>
      <w:r>
        <w:rPr>
          <w:rFonts w:hint="eastAsia" w:ascii="仿宋_GB2312" w:eastAsia="仿宋_GB2312"/>
          <w:color w:val="000000" w:themeColor="text1"/>
          <w:sz w:val="32"/>
          <w:szCs w:val="32"/>
          <w:lang w:eastAsia="zh-CN"/>
        </w:rPr>
        <w:t>、</w:t>
      </w:r>
      <w:r>
        <w:rPr>
          <w:rFonts w:hint="eastAsia" w:ascii="仿宋_GB2312" w:eastAsia="仿宋_GB2312"/>
          <w:color w:val="000000" w:themeColor="text1"/>
          <w:sz w:val="32"/>
          <w:szCs w:val="32"/>
        </w:rPr>
        <w:t>本</w:t>
      </w:r>
      <w:r>
        <w:rPr>
          <w:rFonts w:hint="eastAsia"/>
          <w:color w:val="000000" w:themeColor="text1"/>
          <w:sz w:val="32"/>
          <w:szCs w:val="32"/>
          <w:lang w:eastAsia="zh-CN"/>
        </w:rPr>
        <w:t>市区</w:t>
      </w:r>
      <w:r>
        <w:rPr>
          <w:rFonts w:hint="eastAsia" w:hAnsi="Calibri"/>
          <w:color w:val="000000" w:themeColor="text1"/>
          <w:kern w:val="2"/>
          <w:sz w:val="32"/>
          <w:szCs w:val="32"/>
        </w:rPr>
        <w:t>政府储备物资、公共基础设施、文物文化资产、保障性住房数据与行业统计数据对比</w:t>
      </w:r>
      <w:r>
        <w:rPr>
          <w:rFonts w:hint="eastAsia" w:hAnsi="Calibri"/>
          <w:color w:val="000000" w:themeColor="text1"/>
          <w:kern w:val="2"/>
          <w:sz w:val="32"/>
          <w:szCs w:val="32"/>
          <w:lang w:eastAsia="zh-CN"/>
        </w:rPr>
        <w:t>情况</w:t>
      </w:r>
      <w:r>
        <w:rPr>
          <w:rFonts w:hint="eastAsia" w:hAnsi="Calibri"/>
          <w:color w:val="000000" w:themeColor="text1"/>
          <w:kern w:val="2"/>
          <w:sz w:val="32"/>
          <w:szCs w:val="32"/>
        </w:rPr>
        <w:t>，如不一致应说明差异原因。</w:t>
      </w:r>
    </w:p>
    <w:p>
      <w:pPr>
        <w:ind w:firstLine="640" w:firstLineChars="200"/>
        <w:rPr>
          <w:rFonts w:ascii="仿宋_GB2312" w:eastAsia="仿宋_GB2312"/>
          <w:color w:val="000000" w:themeColor="text1"/>
          <w:sz w:val="32"/>
          <w:szCs w:val="32"/>
        </w:rPr>
      </w:pP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华文中宋">
    <w:altName w:val="汉仪中宋简"/>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Pr>
    </w:pPr>
    <w:r>
      <w:fldChar w:fldCharType="begin"/>
    </w:r>
    <w:r>
      <w:rPr>
        <w:rStyle w:val="9"/>
      </w:rPr>
      <w:instrText xml:space="preserve">PAGE  </w:instrText>
    </w:r>
    <w:r>
      <w:fldChar w:fldCharType="separate"/>
    </w:r>
    <w:r>
      <w:rPr>
        <w:rStyle w:val="9"/>
      </w:rPr>
      <w:t>8</w:t>
    </w:r>
    <w: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Pr>
    </w:pPr>
    <w:r>
      <w:fldChar w:fldCharType="begin"/>
    </w:r>
    <w:r>
      <w:rPr>
        <w:rStyle w:val="9"/>
      </w:rPr>
      <w:instrText xml:space="preserve">PAGE  </w:instrText>
    </w:r>
    <w: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E91A7C"/>
    <w:multiLevelType w:val="multilevel"/>
    <w:tmpl w:val="30E91A7C"/>
    <w:lvl w:ilvl="0" w:tentative="0">
      <w:start w:val="1"/>
      <w:numFmt w:val="japaneseCounting"/>
      <w:lvlText w:val="%1、"/>
      <w:lvlJc w:val="left"/>
      <w:pPr>
        <w:ind w:left="1288" w:hanging="720"/>
      </w:pPr>
      <w:rPr>
        <w:rFonts w:hint="eastAsia" w:ascii="黑体" w:hAnsi="Calibri" w:eastAsia="黑体"/>
        <w:color w:val="auto"/>
        <w:sz w:val="32"/>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true"/>
  <w:bordersDoNotSurroundFooter w:val="true"/>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99C"/>
    <w:rsid w:val="00002F5F"/>
    <w:rsid w:val="00010CC2"/>
    <w:rsid w:val="000133B5"/>
    <w:rsid w:val="0001452F"/>
    <w:rsid w:val="00020726"/>
    <w:rsid w:val="000263E6"/>
    <w:rsid w:val="000315FA"/>
    <w:rsid w:val="000475E3"/>
    <w:rsid w:val="00071ECA"/>
    <w:rsid w:val="00081B26"/>
    <w:rsid w:val="00096F37"/>
    <w:rsid w:val="000A2A43"/>
    <w:rsid w:val="000C3825"/>
    <w:rsid w:val="000F294E"/>
    <w:rsid w:val="001116ED"/>
    <w:rsid w:val="00112F28"/>
    <w:rsid w:val="00130E81"/>
    <w:rsid w:val="00134B3E"/>
    <w:rsid w:val="0014437D"/>
    <w:rsid w:val="00144439"/>
    <w:rsid w:val="00144A45"/>
    <w:rsid w:val="00170F85"/>
    <w:rsid w:val="00185DBB"/>
    <w:rsid w:val="001B0B4B"/>
    <w:rsid w:val="001B1313"/>
    <w:rsid w:val="001B7D17"/>
    <w:rsid w:val="001C2856"/>
    <w:rsid w:val="001C5EFB"/>
    <w:rsid w:val="001E00AB"/>
    <w:rsid w:val="001E1624"/>
    <w:rsid w:val="001F54A3"/>
    <w:rsid w:val="001F7B3B"/>
    <w:rsid w:val="00200E75"/>
    <w:rsid w:val="00201F8E"/>
    <w:rsid w:val="00222F75"/>
    <w:rsid w:val="00244F92"/>
    <w:rsid w:val="002620BC"/>
    <w:rsid w:val="00263509"/>
    <w:rsid w:val="0027640E"/>
    <w:rsid w:val="00281DD6"/>
    <w:rsid w:val="002963AD"/>
    <w:rsid w:val="002A206B"/>
    <w:rsid w:val="002A3AC2"/>
    <w:rsid w:val="002B0DCB"/>
    <w:rsid w:val="002E292B"/>
    <w:rsid w:val="002F06BB"/>
    <w:rsid w:val="0030044B"/>
    <w:rsid w:val="003004DC"/>
    <w:rsid w:val="00301967"/>
    <w:rsid w:val="0034210A"/>
    <w:rsid w:val="00364686"/>
    <w:rsid w:val="00377900"/>
    <w:rsid w:val="003857A9"/>
    <w:rsid w:val="00385AFF"/>
    <w:rsid w:val="00386292"/>
    <w:rsid w:val="003A01AE"/>
    <w:rsid w:val="003D677C"/>
    <w:rsid w:val="003F4032"/>
    <w:rsid w:val="003F569D"/>
    <w:rsid w:val="004359F4"/>
    <w:rsid w:val="00460D4E"/>
    <w:rsid w:val="00465733"/>
    <w:rsid w:val="0047294E"/>
    <w:rsid w:val="004751F5"/>
    <w:rsid w:val="0048463A"/>
    <w:rsid w:val="00487FB2"/>
    <w:rsid w:val="004937DF"/>
    <w:rsid w:val="004A094D"/>
    <w:rsid w:val="004A24AC"/>
    <w:rsid w:val="004B1C4B"/>
    <w:rsid w:val="004B3B35"/>
    <w:rsid w:val="004B4197"/>
    <w:rsid w:val="004B6BE1"/>
    <w:rsid w:val="004B7347"/>
    <w:rsid w:val="004C0C9C"/>
    <w:rsid w:val="004C529C"/>
    <w:rsid w:val="004C55CA"/>
    <w:rsid w:val="004C672F"/>
    <w:rsid w:val="004D47C6"/>
    <w:rsid w:val="004D6137"/>
    <w:rsid w:val="004D6FD1"/>
    <w:rsid w:val="004D76DC"/>
    <w:rsid w:val="004E0B94"/>
    <w:rsid w:val="004F5D6C"/>
    <w:rsid w:val="00500031"/>
    <w:rsid w:val="00500443"/>
    <w:rsid w:val="00500BDA"/>
    <w:rsid w:val="00502C20"/>
    <w:rsid w:val="00512DD9"/>
    <w:rsid w:val="00513DC4"/>
    <w:rsid w:val="0052477F"/>
    <w:rsid w:val="00542E86"/>
    <w:rsid w:val="00550488"/>
    <w:rsid w:val="00583436"/>
    <w:rsid w:val="005900D2"/>
    <w:rsid w:val="00590D26"/>
    <w:rsid w:val="005A2678"/>
    <w:rsid w:val="005C0646"/>
    <w:rsid w:val="005D1BCA"/>
    <w:rsid w:val="005D4893"/>
    <w:rsid w:val="005D4BA3"/>
    <w:rsid w:val="005F31CB"/>
    <w:rsid w:val="005F757E"/>
    <w:rsid w:val="005F79EE"/>
    <w:rsid w:val="006131AB"/>
    <w:rsid w:val="0061516F"/>
    <w:rsid w:val="006168C2"/>
    <w:rsid w:val="00622F50"/>
    <w:rsid w:val="00632B94"/>
    <w:rsid w:val="00635A94"/>
    <w:rsid w:val="00635CD2"/>
    <w:rsid w:val="00636F94"/>
    <w:rsid w:val="006506DD"/>
    <w:rsid w:val="00675ACA"/>
    <w:rsid w:val="00691261"/>
    <w:rsid w:val="006942CD"/>
    <w:rsid w:val="00696948"/>
    <w:rsid w:val="006A6FBC"/>
    <w:rsid w:val="006A79E2"/>
    <w:rsid w:val="006B134B"/>
    <w:rsid w:val="006B214A"/>
    <w:rsid w:val="006B77D1"/>
    <w:rsid w:val="006C02D2"/>
    <w:rsid w:val="006C05DE"/>
    <w:rsid w:val="006E3DC9"/>
    <w:rsid w:val="006F4F95"/>
    <w:rsid w:val="00700518"/>
    <w:rsid w:val="00705E76"/>
    <w:rsid w:val="007067D5"/>
    <w:rsid w:val="00745F35"/>
    <w:rsid w:val="00746E5A"/>
    <w:rsid w:val="00756AE5"/>
    <w:rsid w:val="00773668"/>
    <w:rsid w:val="007A2646"/>
    <w:rsid w:val="007F0ACA"/>
    <w:rsid w:val="0081099D"/>
    <w:rsid w:val="00823341"/>
    <w:rsid w:val="00827AF1"/>
    <w:rsid w:val="0084298B"/>
    <w:rsid w:val="00847EB0"/>
    <w:rsid w:val="00852036"/>
    <w:rsid w:val="008546AC"/>
    <w:rsid w:val="00870619"/>
    <w:rsid w:val="00877543"/>
    <w:rsid w:val="0088119B"/>
    <w:rsid w:val="00884236"/>
    <w:rsid w:val="00890275"/>
    <w:rsid w:val="008A1787"/>
    <w:rsid w:val="008A68BA"/>
    <w:rsid w:val="008B0F73"/>
    <w:rsid w:val="008B4F1B"/>
    <w:rsid w:val="008C3BDB"/>
    <w:rsid w:val="008D129A"/>
    <w:rsid w:val="008E0165"/>
    <w:rsid w:val="008E2117"/>
    <w:rsid w:val="008F111A"/>
    <w:rsid w:val="00907EBC"/>
    <w:rsid w:val="009170BE"/>
    <w:rsid w:val="00925324"/>
    <w:rsid w:val="009352B5"/>
    <w:rsid w:val="00936A46"/>
    <w:rsid w:val="00941CCA"/>
    <w:rsid w:val="00942D12"/>
    <w:rsid w:val="009625C7"/>
    <w:rsid w:val="009859EC"/>
    <w:rsid w:val="009912EB"/>
    <w:rsid w:val="009917C2"/>
    <w:rsid w:val="009A1249"/>
    <w:rsid w:val="009C3901"/>
    <w:rsid w:val="009C63E2"/>
    <w:rsid w:val="009D404A"/>
    <w:rsid w:val="009D7888"/>
    <w:rsid w:val="009E659B"/>
    <w:rsid w:val="00A06D92"/>
    <w:rsid w:val="00A15CFF"/>
    <w:rsid w:val="00A169E7"/>
    <w:rsid w:val="00A16A3C"/>
    <w:rsid w:val="00A33549"/>
    <w:rsid w:val="00A52FDF"/>
    <w:rsid w:val="00A644D9"/>
    <w:rsid w:val="00A70CC9"/>
    <w:rsid w:val="00A7588B"/>
    <w:rsid w:val="00A80804"/>
    <w:rsid w:val="00A8440F"/>
    <w:rsid w:val="00A921F6"/>
    <w:rsid w:val="00AA188C"/>
    <w:rsid w:val="00AB3508"/>
    <w:rsid w:val="00AC4566"/>
    <w:rsid w:val="00AC4B40"/>
    <w:rsid w:val="00AE6AB5"/>
    <w:rsid w:val="00AF7E6B"/>
    <w:rsid w:val="00B2583B"/>
    <w:rsid w:val="00B53EB4"/>
    <w:rsid w:val="00B679B2"/>
    <w:rsid w:val="00B71F9F"/>
    <w:rsid w:val="00BA240A"/>
    <w:rsid w:val="00BA48D8"/>
    <w:rsid w:val="00BB3452"/>
    <w:rsid w:val="00BB5C28"/>
    <w:rsid w:val="00BB7EA2"/>
    <w:rsid w:val="00BE7F14"/>
    <w:rsid w:val="00C040F1"/>
    <w:rsid w:val="00C26CDD"/>
    <w:rsid w:val="00C3107B"/>
    <w:rsid w:val="00C45D26"/>
    <w:rsid w:val="00C5171E"/>
    <w:rsid w:val="00C619E7"/>
    <w:rsid w:val="00C66229"/>
    <w:rsid w:val="00CA0BDF"/>
    <w:rsid w:val="00CA160A"/>
    <w:rsid w:val="00CC03BE"/>
    <w:rsid w:val="00CC56FD"/>
    <w:rsid w:val="00CE4C1C"/>
    <w:rsid w:val="00D04363"/>
    <w:rsid w:val="00D055FC"/>
    <w:rsid w:val="00D05EF1"/>
    <w:rsid w:val="00D10985"/>
    <w:rsid w:val="00D15F77"/>
    <w:rsid w:val="00D32D47"/>
    <w:rsid w:val="00D34FC8"/>
    <w:rsid w:val="00D41DD5"/>
    <w:rsid w:val="00D53C06"/>
    <w:rsid w:val="00D655B5"/>
    <w:rsid w:val="00D7675F"/>
    <w:rsid w:val="00D8066F"/>
    <w:rsid w:val="00D806B5"/>
    <w:rsid w:val="00D82A96"/>
    <w:rsid w:val="00D85530"/>
    <w:rsid w:val="00D85CED"/>
    <w:rsid w:val="00D953B9"/>
    <w:rsid w:val="00DA663B"/>
    <w:rsid w:val="00DB2768"/>
    <w:rsid w:val="00DC440B"/>
    <w:rsid w:val="00DC7DDA"/>
    <w:rsid w:val="00DD3A4D"/>
    <w:rsid w:val="00DE5EC9"/>
    <w:rsid w:val="00DF4953"/>
    <w:rsid w:val="00E434F0"/>
    <w:rsid w:val="00E47166"/>
    <w:rsid w:val="00E53B13"/>
    <w:rsid w:val="00E73CE2"/>
    <w:rsid w:val="00E90F26"/>
    <w:rsid w:val="00EA294F"/>
    <w:rsid w:val="00EA7EAC"/>
    <w:rsid w:val="00EB1170"/>
    <w:rsid w:val="00EB7AEC"/>
    <w:rsid w:val="00EC06EF"/>
    <w:rsid w:val="00EE06FD"/>
    <w:rsid w:val="00EE461F"/>
    <w:rsid w:val="00EF6879"/>
    <w:rsid w:val="00F00089"/>
    <w:rsid w:val="00F0109E"/>
    <w:rsid w:val="00F03D46"/>
    <w:rsid w:val="00F06EBD"/>
    <w:rsid w:val="00F22FBE"/>
    <w:rsid w:val="00F27E14"/>
    <w:rsid w:val="00F34E0F"/>
    <w:rsid w:val="00F420D9"/>
    <w:rsid w:val="00F47837"/>
    <w:rsid w:val="00F65FC3"/>
    <w:rsid w:val="00F67AD4"/>
    <w:rsid w:val="00F7087F"/>
    <w:rsid w:val="00F867DD"/>
    <w:rsid w:val="00F91AC1"/>
    <w:rsid w:val="00F94162"/>
    <w:rsid w:val="00FD57A1"/>
    <w:rsid w:val="00FE599C"/>
    <w:rsid w:val="00FF093F"/>
    <w:rsid w:val="00FF41E1"/>
    <w:rsid w:val="01166843"/>
    <w:rsid w:val="026172AC"/>
    <w:rsid w:val="02F809E2"/>
    <w:rsid w:val="04414801"/>
    <w:rsid w:val="04523525"/>
    <w:rsid w:val="07675800"/>
    <w:rsid w:val="07950205"/>
    <w:rsid w:val="07E35189"/>
    <w:rsid w:val="09FD0375"/>
    <w:rsid w:val="0ADA18C7"/>
    <w:rsid w:val="0B64113E"/>
    <w:rsid w:val="0C7F5CD8"/>
    <w:rsid w:val="0D2E476E"/>
    <w:rsid w:val="0DF32A69"/>
    <w:rsid w:val="0E3323B2"/>
    <w:rsid w:val="0F1015F2"/>
    <w:rsid w:val="101A4DDE"/>
    <w:rsid w:val="116454B7"/>
    <w:rsid w:val="11CD3961"/>
    <w:rsid w:val="128D6BB4"/>
    <w:rsid w:val="13A814F8"/>
    <w:rsid w:val="142A39AA"/>
    <w:rsid w:val="14EF7718"/>
    <w:rsid w:val="16B351AB"/>
    <w:rsid w:val="18F462C3"/>
    <w:rsid w:val="1A3C22BC"/>
    <w:rsid w:val="1B5B6257"/>
    <w:rsid w:val="1C53586C"/>
    <w:rsid w:val="1D21151E"/>
    <w:rsid w:val="1DFC6D7A"/>
    <w:rsid w:val="1E1C617D"/>
    <w:rsid w:val="1E6F1EE9"/>
    <w:rsid w:val="1FD21068"/>
    <w:rsid w:val="202E39B4"/>
    <w:rsid w:val="21833BFB"/>
    <w:rsid w:val="221C015A"/>
    <w:rsid w:val="23326A25"/>
    <w:rsid w:val="250817C9"/>
    <w:rsid w:val="254FB274"/>
    <w:rsid w:val="273A4F88"/>
    <w:rsid w:val="28927C94"/>
    <w:rsid w:val="28AD067D"/>
    <w:rsid w:val="29126FE4"/>
    <w:rsid w:val="2939585B"/>
    <w:rsid w:val="2BEA21C4"/>
    <w:rsid w:val="2CB47743"/>
    <w:rsid w:val="2F3B2D5A"/>
    <w:rsid w:val="2F3E30EF"/>
    <w:rsid w:val="309853B2"/>
    <w:rsid w:val="318E3E5D"/>
    <w:rsid w:val="31902152"/>
    <w:rsid w:val="33F11027"/>
    <w:rsid w:val="35AA5BF4"/>
    <w:rsid w:val="3757083F"/>
    <w:rsid w:val="37995A57"/>
    <w:rsid w:val="389968CD"/>
    <w:rsid w:val="39196A2A"/>
    <w:rsid w:val="3B164554"/>
    <w:rsid w:val="3B774148"/>
    <w:rsid w:val="3BA2254D"/>
    <w:rsid w:val="3D771506"/>
    <w:rsid w:val="3E503F19"/>
    <w:rsid w:val="3E8A7D75"/>
    <w:rsid w:val="3ED0249C"/>
    <w:rsid w:val="3EDC88D4"/>
    <w:rsid w:val="402B654B"/>
    <w:rsid w:val="40E66DE2"/>
    <w:rsid w:val="40FA29D2"/>
    <w:rsid w:val="43D5363B"/>
    <w:rsid w:val="44EF4922"/>
    <w:rsid w:val="453870F5"/>
    <w:rsid w:val="45FE6F89"/>
    <w:rsid w:val="4ADF0518"/>
    <w:rsid w:val="4B7D023E"/>
    <w:rsid w:val="4D2C130A"/>
    <w:rsid w:val="4D3D1799"/>
    <w:rsid w:val="4D5212ED"/>
    <w:rsid w:val="4DAA3A47"/>
    <w:rsid w:val="4DF43C52"/>
    <w:rsid w:val="4E2F6F8F"/>
    <w:rsid w:val="4EA16C5D"/>
    <w:rsid w:val="4EDD5757"/>
    <w:rsid w:val="4F5A754C"/>
    <w:rsid w:val="51E22B95"/>
    <w:rsid w:val="52CD7DA1"/>
    <w:rsid w:val="5374454A"/>
    <w:rsid w:val="547D42C3"/>
    <w:rsid w:val="55FA1630"/>
    <w:rsid w:val="56093C42"/>
    <w:rsid w:val="57171112"/>
    <w:rsid w:val="57EE044E"/>
    <w:rsid w:val="58042AEB"/>
    <w:rsid w:val="586B4198"/>
    <w:rsid w:val="588D5F4E"/>
    <w:rsid w:val="591A7469"/>
    <w:rsid w:val="59EE51F2"/>
    <w:rsid w:val="5B2610D7"/>
    <w:rsid w:val="5B8378E5"/>
    <w:rsid w:val="5C7B225B"/>
    <w:rsid w:val="5CCE5AD7"/>
    <w:rsid w:val="5E500FAC"/>
    <w:rsid w:val="5F0A365F"/>
    <w:rsid w:val="5F0A3A93"/>
    <w:rsid w:val="5FDF3A72"/>
    <w:rsid w:val="60D251B5"/>
    <w:rsid w:val="617918C3"/>
    <w:rsid w:val="62771729"/>
    <w:rsid w:val="63DE1145"/>
    <w:rsid w:val="64432DE3"/>
    <w:rsid w:val="650B7A25"/>
    <w:rsid w:val="65936BD2"/>
    <w:rsid w:val="667051EB"/>
    <w:rsid w:val="69167732"/>
    <w:rsid w:val="6B93037E"/>
    <w:rsid w:val="6D2509E0"/>
    <w:rsid w:val="6D786448"/>
    <w:rsid w:val="6E965F42"/>
    <w:rsid w:val="71347FD6"/>
    <w:rsid w:val="7136612B"/>
    <w:rsid w:val="72874BAE"/>
    <w:rsid w:val="73915D84"/>
    <w:rsid w:val="751C3AEB"/>
    <w:rsid w:val="760F4E8F"/>
    <w:rsid w:val="766A00BF"/>
    <w:rsid w:val="76E175D0"/>
    <w:rsid w:val="77AD5470"/>
    <w:rsid w:val="77EE0AD0"/>
    <w:rsid w:val="78841308"/>
    <w:rsid w:val="79BBD1F0"/>
    <w:rsid w:val="79BC2B12"/>
    <w:rsid w:val="79DB2AF2"/>
    <w:rsid w:val="79F4675F"/>
    <w:rsid w:val="7C5028C4"/>
    <w:rsid w:val="7C9A74B8"/>
    <w:rsid w:val="7CBD1CF1"/>
    <w:rsid w:val="7DF8774C"/>
    <w:rsid w:val="7EBFBB38"/>
    <w:rsid w:val="7EC951E2"/>
    <w:rsid w:val="7FFD44C5"/>
    <w:rsid w:val="8A77A974"/>
    <w:rsid w:val="99A74EDD"/>
    <w:rsid w:val="AD7A127F"/>
    <w:rsid w:val="AEBF2ADB"/>
    <w:rsid w:val="AF4FF015"/>
    <w:rsid w:val="AFF7144D"/>
    <w:rsid w:val="AFFA3790"/>
    <w:rsid w:val="DFEF7F0A"/>
    <w:rsid w:val="E6F0915C"/>
    <w:rsid w:val="F6DDE3A1"/>
    <w:rsid w:val="F78FA812"/>
    <w:rsid w:val="FBFE6E81"/>
    <w:rsid w:val="FDBB7708"/>
    <w:rsid w:val="FDCBAF7F"/>
    <w:rsid w:val="FDFFE621"/>
    <w:rsid w:val="FED376FE"/>
    <w:rsid w:val="FFD7507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unhideWhenUsed/>
    <w:qFormat/>
    <w:uiPriority w:val="99"/>
    <w:pPr>
      <w:jc w:val="left"/>
    </w:pPr>
  </w:style>
  <w:style w:type="paragraph" w:styleId="3">
    <w:name w:val="Body Text"/>
    <w:basedOn w:val="1"/>
    <w:link w:val="10"/>
    <w:qFormat/>
    <w:uiPriority w:val="0"/>
    <w:pPr>
      <w:widowControl/>
      <w:adjustRightInd w:val="0"/>
      <w:snapToGrid w:val="0"/>
      <w:spacing w:line="360" w:lineRule="auto"/>
    </w:pPr>
    <w:rPr>
      <w:rFonts w:ascii="仿宋_GB2312" w:hAnsi="宋体" w:eastAsia="仿宋_GB2312"/>
      <w:kern w:val="0"/>
      <w:sz w:val="28"/>
      <w:szCs w:val="24"/>
    </w:rPr>
  </w:style>
  <w:style w:type="paragraph" w:styleId="4">
    <w:name w:val="Balloon Text"/>
    <w:basedOn w:val="1"/>
    <w:link w:val="14"/>
    <w:unhideWhenUsed/>
    <w:qFormat/>
    <w:uiPriority w:val="99"/>
    <w:rPr>
      <w:sz w:val="18"/>
      <w:szCs w:val="18"/>
    </w:rPr>
  </w:style>
  <w:style w:type="paragraph" w:styleId="5">
    <w:name w:val="footer"/>
    <w:basedOn w:val="1"/>
    <w:link w:val="11"/>
    <w:qFormat/>
    <w:uiPriority w:val="0"/>
    <w:pPr>
      <w:tabs>
        <w:tab w:val="center" w:pos="4153"/>
        <w:tab w:val="right" w:pos="8306"/>
      </w:tabs>
      <w:snapToGrid w:val="0"/>
      <w:jc w:val="left"/>
    </w:pPr>
    <w:rPr>
      <w:rFonts w:ascii="Times New Roman" w:hAnsi="Times New Roman"/>
      <w:sz w:val="18"/>
      <w:szCs w:val="20"/>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character" w:customStyle="1" w:styleId="10">
    <w:name w:val="正文文本 字符"/>
    <w:link w:val="3"/>
    <w:qFormat/>
    <w:uiPriority w:val="0"/>
    <w:rPr>
      <w:rFonts w:ascii="仿宋_GB2312" w:hAnsi="宋体" w:eastAsia="仿宋_GB2312" w:cs="Times New Roman"/>
      <w:kern w:val="0"/>
      <w:sz w:val="28"/>
      <w:szCs w:val="24"/>
    </w:rPr>
  </w:style>
  <w:style w:type="character" w:customStyle="1" w:styleId="11">
    <w:name w:val="页脚 字符"/>
    <w:link w:val="5"/>
    <w:qFormat/>
    <w:uiPriority w:val="0"/>
    <w:rPr>
      <w:rFonts w:ascii="Times New Roman" w:hAnsi="Times New Roman" w:eastAsia="宋体" w:cs="Times New Roman"/>
      <w:sz w:val="18"/>
      <w:szCs w:val="20"/>
    </w:rPr>
  </w:style>
  <w:style w:type="paragraph" w:customStyle="1" w:styleId="12">
    <w:name w:val="列出段落1"/>
    <w:basedOn w:val="1"/>
    <w:qFormat/>
    <w:uiPriority w:val="34"/>
    <w:pPr>
      <w:ind w:firstLine="420" w:firstLineChars="200"/>
    </w:pPr>
  </w:style>
  <w:style w:type="character" w:customStyle="1" w:styleId="13">
    <w:name w:val="页眉 字符"/>
    <w:link w:val="6"/>
    <w:qFormat/>
    <w:uiPriority w:val="99"/>
    <w:rPr>
      <w:sz w:val="18"/>
      <w:szCs w:val="18"/>
    </w:rPr>
  </w:style>
  <w:style w:type="character" w:customStyle="1" w:styleId="14">
    <w:name w:val="批注框文本 字符"/>
    <w:link w:val="4"/>
    <w:semiHidden/>
    <w:qFormat/>
    <w:uiPriority w:val="99"/>
    <w:rPr>
      <w:sz w:val="18"/>
      <w:szCs w:val="18"/>
    </w:rPr>
  </w:style>
  <w:style w:type="character" w:customStyle="1" w:styleId="15">
    <w:name w:val="批注文字 字符"/>
    <w:basedOn w:val="8"/>
    <w:link w:val="2"/>
    <w:qFormat/>
    <w:uiPriority w:val="99"/>
  </w:style>
  <w:style w:type="paragraph" w:customStyle="1" w:styleId="16">
    <w:name w:val="列出段落11"/>
    <w:basedOn w:val="1"/>
    <w:qFormat/>
    <w:uiPriority w:val="34"/>
    <w:pPr>
      <w:ind w:firstLine="420" w:firstLineChars="200"/>
    </w:pPr>
    <w:rPr>
      <w:rFonts w:ascii="Times New Roman" w:hAnsi="Times New Roman"/>
      <w:szCs w:val="24"/>
    </w:rPr>
  </w:style>
  <w:style w:type="paragraph" w:styleId="1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514</Words>
  <Characters>2934</Characters>
  <Lines>24</Lines>
  <Paragraphs>6</Paragraphs>
  <TotalTime>1</TotalTime>
  <ScaleCrop>false</ScaleCrop>
  <LinksUpToDate>false</LinksUpToDate>
  <CharactersWithSpaces>3442</CharactersWithSpaces>
  <Application>WPS Office_11.8.2.9793_F1E327BC-269C-435d-A152-05C5408002CA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2020-09-26T10:12:00Z</dcterms:created>
  <dc:creator>lenovo</dc:creator>
  <cp:lastModifiedBy>czt2020</cp:lastModifiedBy>
  <cp:lastPrinted>2022-01-13T09:13:00Z</cp:lastPrinted>
  <dcterms:modified xsi:type="dcterms:W3CDTF">2022-01-26T10:37:49Z</dcterms:modified>
  <dc:title>附件3：</dc:title>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2052-11.8.2.9793</vt:lpwstr>
  </property>
  <property fmtid="{D5CDD505-2E9C-101B-9397-08002B2CF9AE}" pid="3" name="ICV">
    <vt:lpwstr>32CCAB4DF7AB4F9CB9CECF24A67036C0</vt:lpwstr>
  </property>
</Properties>
</file>